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Paramedic</w:t>
      </w:r>
      <w:r>
        <w:t xml:space="preserve"> </w:t>
      </w:r>
      <w:r>
        <w:t xml:space="preserve">Services</w:t>
      </w:r>
      <w:r>
        <w:t xml:space="preserve"> </w:t>
      </w:r>
      <w:r>
        <w:t xml:space="preserve">in</w:t>
      </w:r>
      <w:r>
        <w:t xml:space="preserve"> </w:t>
      </w:r>
      <w:r>
        <w:t xml:space="preserve">China</w:t>
      </w:r>
      <w:r>
        <w:t xml:space="preserve"> </w:t>
      </w:r>
      <w:r>
        <w:t xml:space="preserve">Guangzhou</w:t>
      </w:r>
    </w:p>
    <w:bookmarkStart w:id="34" w:name="X547f80aa832bad5ddc6453d0c9d93226350d098"/>
    <w:p>
      <w:pPr>
        <w:pStyle w:val="Heading1"/>
      </w:pPr>
      <w:r>
        <w:t xml:space="preserve">Comprehensive Marketing Plan: Advanced Paramedic Service Launch in China Guangzhou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the strategic rollout of a premium private paramedic service targeting healthcare gaps in Guangzhou, China. As the fifth-largest city globally with over 18 million residents, Guangzhou faces critical challenges in emergency medical response due to traffic congestion and aging infrastructure. Our solution—</w:t>
      </w:r>
      <w:r>
        <w:rPr>
          <w:iCs/>
          <w:i/>
        </w:rPr>
        <w:t xml:space="preserve">Guangzhou Paramedic Response (GPR)</w:t>
      </w:r>
      <w:r>
        <w:t xml:space="preserve">—will deploy advanced mobile units staffed by certified paramedics trained in international protocols, addressing the urgent need for faster, higher-quality emergency care. This plan details market entry strategies, service differentiation, and execution roadmap to capture 15% of Guangzhou's emergency medical market within three years.</w:t>
      </w:r>
    </w:p>
    <w:bookmarkEnd w:id="20"/>
    <w:bookmarkStart w:id="21" w:name="market-analysis-china-guangzhou-context"/>
    <w:p>
      <w:pPr>
        <w:pStyle w:val="Heading2"/>
      </w:pPr>
      <w:r>
        <w:t xml:space="preserve">Market Analysis: China Guangzhou Context</w:t>
      </w:r>
    </w:p>
    <w:p>
      <w:pPr>
        <w:pStyle w:val="FirstParagraph"/>
      </w:pPr>
      <w:r>
        <w:t xml:space="preserve">Guangzhou’s healthcare landscape reveals a stark reality: existing ambulance services average 18-25 minutes for response times during peak hours (Guangdong Provincial Health Report, 2023), far exceeding the WHO-recommended 10-minute benchmark. With Guangzhou’s population growing at 3.4% annually and an aging demographic (14.8% over 65), demand for rapid paramedic intervention is escalating. Current state-run services are overwhelmed—Guangzhou's emergency departments operate at 120% capacity during rush hours. Private alternatives remain scarce, with only two competitors offering basic ambulance transport without certified paramedics. This gap presents a prime opportunity for a premium</w:t>
      </w:r>
      <w:r>
        <w:t xml:space="preserve"> </w:t>
      </w:r>
      <w:r>
        <w:rPr>
          <w:iCs/>
          <w:i/>
        </w:rPr>
        <w:t xml:space="preserve">paramedic</w:t>
      </w:r>
      <w:r>
        <w:t xml:space="preserve">-led service that integrates telemedicine and AI-driven dispatch.</w:t>
      </w:r>
    </w:p>
    <w:bookmarkEnd w:id="21"/>
    <w:bookmarkStart w:id="22" w:name="target-audience-segmentation"/>
    <w:p>
      <w:pPr>
        <w:pStyle w:val="Heading2"/>
      </w:pPr>
      <w:r>
        <w:t xml:space="preserve">Target Audience Segmentation</w:t>
      </w:r>
    </w:p>
    <w:p>
      <w:pPr>
        <w:pStyle w:val="FirstParagraph"/>
      </w:pPr>
      <w:r>
        <w:rPr>
          <w:bCs/>
          <w:b/>
        </w:rPr>
        <w:t xml:space="preserve">Primary Segment:</w:t>
      </w:r>
      <w:r>
        <w:t xml:space="preserve"> </w:t>
      </w:r>
      <w:r>
        <w:t xml:space="preserve">Urban professionals aged 35-65 in Baiyun, Tianhe, and Yuexiu districts—frequently traveling through traffic-congested zones. They value time-sensitive care and have disposable income for premium health services.</w:t>
      </w:r>
    </w:p>
    <w:p>
      <w:pPr>
        <w:pStyle w:val="BodyText"/>
      </w:pPr>
      <w:r>
        <w:rPr>
          <w:bCs/>
          <w:b/>
        </w:rPr>
        <w:t xml:space="preserve">Secondary Segment:</w:t>
      </w:r>
      <w:r>
        <w:t xml:space="preserve"> </w:t>
      </w:r>
      <w:r>
        <w:t xml:space="preserve">Elderly residents (65+) with chronic conditions (diabetes, cardiovascular issues), often living alone in older neighborhoods like Liwan. They represent high-risk cases requiring immediate paramedic intervention.</w:t>
      </w:r>
    </w:p>
    <w:p>
      <w:pPr>
        <w:pStyle w:val="BodyText"/>
      </w:pPr>
      <w:r>
        <w:rPr>
          <w:bCs/>
          <w:b/>
        </w:rPr>
        <w:t xml:space="preserve">Tertiary Segment:</w:t>
      </w:r>
      <w:r>
        <w:t xml:space="preserve"> </w:t>
      </w:r>
      <w:r>
        <w:t xml:space="preserve">International businesses operating in Guangzhou, seeking comprehensive health solutions for expatriate employees. This segment prioritizes English-speaking paramedics and seamless insurance integration.</w:t>
      </w:r>
    </w:p>
    <w:bookmarkEnd w:id="22"/>
    <w:bookmarkStart w:id="23" w:name="marketing-objectives"/>
    <w:p>
      <w:pPr>
        <w:pStyle w:val="Heading2"/>
      </w:pPr>
      <w:r>
        <w:t xml:space="preserve">Marketing Objectives</w:t>
      </w:r>
    </w:p>
    <w:p>
      <w:pPr>
        <w:numPr>
          <w:ilvl w:val="0"/>
          <w:numId w:val="1001"/>
        </w:numPr>
        <w:pStyle w:val="Compact"/>
      </w:pPr>
      <w:r>
        <w:t xml:space="preserve">Secure 500+ corporate partnerships with multinational firms in China Guangzhou within Year 1.</w:t>
      </w:r>
    </w:p>
    <w:p>
      <w:pPr>
        <w:numPr>
          <w:ilvl w:val="0"/>
          <w:numId w:val="1001"/>
        </w:numPr>
        <w:pStyle w:val="Compact"/>
      </w:pPr>
      <w:r>
        <w:t xml:space="preserve">Achieve 90% brand recognition among target demographics in Guangzhou’s top 3 commercial districts by Month 18.</w:t>
      </w:r>
    </w:p>
    <w:p>
      <w:pPr>
        <w:numPr>
          <w:ilvl w:val="0"/>
          <w:numId w:val="1001"/>
        </w:numPr>
        <w:pStyle w:val="Compact"/>
      </w:pPr>
      <w:r>
        <w:t xml:space="preserve">Maintain average response time of ≤8 minutes (surpassing city standard) through strategic unit placement.</w:t>
      </w:r>
    </w:p>
    <w:p>
      <w:pPr>
        <w:numPr>
          <w:ilvl w:val="0"/>
          <w:numId w:val="1001"/>
        </w:numPr>
        <w:pStyle w:val="Compact"/>
      </w:pPr>
      <w:r>
        <w:t xml:space="preserve">Generate $2.5M revenue in Year 1, scaling to $8M by Year 3.</w:t>
      </w:r>
    </w:p>
    <w:bookmarkEnd w:id="23"/>
    <w:bookmarkStart w:id="24" w:name="X4056218b229af51b20e78595ac5044220accf91"/>
    <w:p>
      <w:pPr>
        <w:pStyle w:val="Heading2"/>
      </w:pPr>
      <w:r>
        <w:t xml:space="preserve">Strategic Differentiation: The Guangzhou Paramedic Advantage</w:t>
      </w:r>
    </w:p>
    <w:p>
      <w:pPr>
        <w:pStyle w:val="FirstParagraph"/>
      </w:pPr>
      <w:r>
        <w:t xml:space="preserve">GPR will distinguish itself through three pillars: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Certified International Standards:</w:t>
      </w:r>
      <w:r>
        <w:t xml:space="preserve"> </w:t>
      </w:r>
      <w:r>
        <w:t xml:space="preserve">All paramedics hold AHA (American Heart Association) certifications plus China National Medical Qualification licenses—unlike competitors using only basic ambulance attendants.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Traffic-Aware Technology:</w:t>
      </w:r>
      <w:r>
        <w:t xml:space="preserve"> </w:t>
      </w:r>
      <w:r>
        <w:t xml:space="preserve">Proprietary AI dispatch system integrated with Guangzhou’s smart city traffic sensors, rerouting units around congestion in real-time.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Seamless Healthcare Integration:</w:t>
      </w:r>
      <w:r>
        <w:t xml:space="preserve"> </w:t>
      </w:r>
      <w:r>
        <w:t xml:space="preserve">Direct EHR (Electronic Health Record) connectivity with Guangzhou First People's Hospital and Shenzhen University Medical Center for continuous care continuity.</w:t>
      </w:r>
    </w:p>
    <w:bookmarkEnd w:id="24"/>
    <w:bookmarkStart w:id="29" w:name="ps-marketing-strategy"/>
    <w:p>
      <w:pPr>
        <w:pStyle w:val="Heading2"/>
      </w:pPr>
      <w:r>
        <w:t xml:space="preserve">4Ps Marketing Strategy</w:t>
      </w:r>
    </w:p>
    <w:bookmarkStart w:id="25" w:name="product"/>
    <w:p>
      <w:pPr>
        <w:pStyle w:val="Heading3"/>
      </w:pPr>
      <w:r>
        <w:t xml:space="preserve">Product</w:t>
      </w:r>
    </w:p>
    <w:p>
      <w:pPr>
        <w:pStyle w:val="FirstParagraph"/>
      </w:pPr>
      <w:r>
        <w:t xml:space="preserve">GPR offers tiered paramedic packages: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Basic Response:</w:t>
      </w:r>
      <w:r>
        <w:t xml:space="preserve"> </w:t>
      </w:r>
      <w:r>
        <w:t xml:space="preserve">Standard paramedic ambulance (18-minute average response)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Premium+</w:t>
      </w:r>
      <w:r>
        <w:t xml:space="preserve">: Dedicated electric vehicles with onboard defibrillators, IV therapy, and 24/7 telemedicine support ($599/year subscription for individuals).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Enterprise Solution:</w:t>
      </w:r>
      <w:r>
        <w:t xml:space="preserve"> </w:t>
      </w:r>
      <w:r>
        <w:t xml:space="preserve">Customized corporate plans including health risk assessments for employees (billed to HR departments).</w:t>
      </w:r>
    </w:p>
    <w:p>
      <w:pPr>
        <w:pStyle w:val="FirstParagraph"/>
      </w:pPr>
      <w:r>
        <w:t xml:space="preserve">All units feature multilingual (Mandarin, English, Cantonese) paramedics and climate-controlled interiors.</w:t>
      </w:r>
    </w:p>
    <w:bookmarkEnd w:id="25"/>
    <w:bookmarkStart w:id="26" w:name="pricing"/>
    <w:p>
      <w:pPr>
        <w:pStyle w:val="Heading3"/>
      </w:pPr>
      <w:r>
        <w:t xml:space="preserve">Pricing</w:t>
      </w:r>
    </w:p>
    <w:p>
      <w:pPr>
        <w:pStyle w:val="FirstParagraph"/>
      </w:pPr>
      <w:r>
        <w:t xml:space="preserve">Competitive yet premium positioning:</w:t>
      </w:r>
    </w:p>
    <w:p>
      <w:pPr>
        <w:numPr>
          <w:ilvl w:val="0"/>
          <w:numId w:val="1004"/>
        </w:numPr>
        <w:pStyle w:val="Compact"/>
      </w:pPr>
      <w:r>
        <w:t xml:space="preserve">Single Emergency Trip: ¥480 (vs. standard ¥250-¥350)</w:t>
      </w:r>
    </w:p>
    <w:p>
      <w:pPr>
        <w:numPr>
          <w:ilvl w:val="0"/>
          <w:numId w:val="1004"/>
        </w:numPr>
        <w:pStyle w:val="Compact"/>
      </w:pPr>
      <w:r>
        <w:t xml:space="preserve">Annual Premium+ Membership: ¥1,999 (covers 12 emergencies + health checks)</w:t>
      </w:r>
    </w:p>
    <w:p>
      <w:pPr>
        <w:numPr>
          <w:ilvl w:val="0"/>
          <w:numId w:val="1004"/>
        </w:numPr>
        <w:pStyle w:val="Compact"/>
      </w:pPr>
      <w:r>
        <w:t xml:space="preserve">Corporate Enterprise Plans: Customized per employee ($8.50/month/employee)</w:t>
      </w:r>
    </w:p>
    <w:p>
      <w:pPr>
        <w:pStyle w:val="FirstParagraph"/>
      </w:pPr>
      <w:r>
        <w:t xml:space="preserve">This pricing strategy reflects our superior response times and clinical capabilities while targeting Guangzhou’s middle-to-high-income demographic.</w:t>
      </w:r>
    </w:p>
    <w:bookmarkEnd w:id="26"/>
    <w:bookmarkStart w:id="27" w:name="place"/>
    <w:p>
      <w:pPr>
        <w:pStyle w:val="Heading3"/>
      </w:pPr>
      <w:r>
        <w:t xml:space="preserve">Place</w:t>
      </w:r>
    </w:p>
    <w:p>
      <w:pPr>
        <w:pStyle w:val="FirstParagraph"/>
      </w:pPr>
      <w:r>
        <w:t xml:space="preserve">Strategic unit deployment across 12 districts in China Guangzhou, prioritizing high-traffic corridors (e.g., Zhujiang New Town, Pazhou Exhibition Center) and elderly-dense neighborhoods. Units will operate from four centralized hubs:</w:t>
      </w:r>
    </w:p>
    <w:p>
      <w:pPr>
        <w:numPr>
          <w:ilvl w:val="0"/>
          <w:numId w:val="1005"/>
        </w:numPr>
        <w:pStyle w:val="Compact"/>
      </w:pPr>
      <w:r>
        <w:t xml:space="preserve">Tianhe District (Business Core)</w:t>
      </w:r>
    </w:p>
    <w:p>
      <w:pPr>
        <w:numPr>
          <w:ilvl w:val="0"/>
          <w:numId w:val="1005"/>
        </w:numPr>
        <w:pStyle w:val="Compact"/>
      </w:pPr>
      <w:r>
        <w:t xml:space="preserve">Baiyun District (Transport Hub)</w:t>
      </w:r>
    </w:p>
    <w:p>
      <w:pPr>
        <w:numPr>
          <w:ilvl w:val="0"/>
          <w:numId w:val="1005"/>
        </w:numPr>
        <w:pStyle w:val="Compact"/>
      </w:pPr>
      <w:r>
        <w:t xml:space="preserve">Yuexiu District (Historic Elderly Population)</w:t>
      </w:r>
    </w:p>
    <w:p>
      <w:pPr>
        <w:numPr>
          <w:ilvl w:val="0"/>
          <w:numId w:val="1005"/>
        </w:numPr>
        <w:pStyle w:val="Compact"/>
      </w:pPr>
      <w:r>
        <w:t xml:space="preserve">Nansha Free Trade Zone (Corporate Cluster)</w:t>
      </w:r>
    </w:p>
    <w:bookmarkEnd w:id="27"/>
    <w:bookmarkStart w:id="28" w:name="promotion"/>
    <w:p>
      <w:pPr>
        <w:pStyle w:val="Heading3"/>
      </w:pPr>
      <w:r>
        <w:t xml:space="preserve">Promotion</w:t>
      </w:r>
    </w:p>
    <w:p>
      <w:pPr>
        <w:pStyle w:val="FirstParagraph"/>
      </w:pPr>
      <w:r>
        <w:t xml:space="preserve">Phased launch campaign emphasizing "Guangzhou Paramedic Excellence":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Phase 1 (Months 1-4):</w:t>
      </w:r>
      <w:r>
        <w:t xml:space="preserve"> </w:t>
      </w:r>
      <w:r>
        <w:t xml:space="preserve">Media partnerships with Guangzhou TV and WeChat; free paramedic first-aid workshops in community centers.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Phase 2 (Months 5-8):</w:t>
      </w:r>
      <w:r>
        <w:t xml:space="preserve"> </w:t>
      </w:r>
      <w:r>
        <w:t xml:space="preserve">Corporate outreach via Alibaba Health’s B2B platform, offering free trial periods to multinational HQs.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Phase 3 (Months 9-12):</w:t>
      </w:r>
      <w:r>
        <w:t xml:space="preserve"> </w:t>
      </w:r>
      <w:r>
        <w:t xml:space="preserve">Influencer collaborations with Guangzhou-based health experts on Douyin (TikTok China), showcasing real response scenarios.</w:t>
      </w:r>
    </w:p>
    <w:bookmarkEnd w:id="28"/>
    <w:bookmarkEnd w:id="29"/>
    <w:bookmarkStart w:id="30" w:name="implementation-timeline"/>
    <w:p>
      <w:pPr>
        <w:pStyle w:val="Heading2"/>
      </w:pPr>
      <w:r>
        <w:t xml:space="preserve">Implementation Timeline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Quarter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Key Milestones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Q1 2024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Licensing acquisition from Guangdong Health Bureau; hire 35 certified paramedics; finalize AI dispatch partnership with Guangzhou Smart City Authority.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Q2 2024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Launch Phase 1 marketing; deploy first 8 units in Tianhe/Yuexiu districts.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Q3 2024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Secure first corporate partner (e.g., Siemens China); expand to Baiyun District hub.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Q4 2024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Reach 1,000+ Premium+ members; achieve 7.5-minute average response time.</w:t>
            </w:r>
          </w:p>
        </w:tc>
      </w:tr>
    </w:tbl>
    <w:bookmarkEnd w:id="30"/>
    <w:bookmarkStart w:id="31" w:name="budget-allocation"/>
    <w:p>
      <w:pPr>
        <w:pStyle w:val="Heading2"/>
      </w:pPr>
      <w:r>
        <w:t xml:space="preserve">Budget Allocation</w:t>
      </w:r>
    </w:p>
    <w:p>
      <w:pPr>
        <w:pStyle w:val="FirstParagraph"/>
      </w:pPr>
      <w:r>
        <w:t xml:space="preserve">Total Year 1 Investment: ¥18.7M</w:t>
      </w:r>
    </w:p>
    <w:p>
      <w:pPr>
        <w:numPr>
          <w:ilvl w:val="0"/>
          <w:numId w:val="1007"/>
        </w:numPr>
        <w:pStyle w:val="Compact"/>
      </w:pPr>
      <w:r>
        <w:t xml:space="preserve">Technology Development (AI Dispatch): ¥6.2M</w:t>
      </w:r>
    </w:p>
    <w:p>
      <w:pPr>
        <w:numPr>
          <w:ilvl w:val="0"/>
          <w:numId w:val="1007"/>
        </w:numPr>
        <w:pStyle w:val="Compact"/>
      </w:pPr>
      <w:r>
        <w:t xml:space="preserve">Paramedic Recruitment &amp; Training: ¥5.8M</w:t>
      </w:r>
    </w:p>
    <w:p>
      <w:pPr>
        <w:numPr>
          <w:ilvl w:val="0"/>
          <w:numId w:val="1007"/>
        </w:numPr>
        <w:pStyle w:val="Compact"/>
      </w:pPr>
      <w:r>
        <w:t xml:space="preserve">Marketing &amp; Branding: ¥4.5M (including media, workshops, influencer partnerships)</w:t>
      </w:r>
    </w:p>
    <w:p>
      <w:pPr>
        <w:numPr>
          <w:ilvl w:val="0"/>
          <w:numId w:val="1007"/>
        </w:numPr>
        <w:pStyle w:val="Compact"/>
      </w:pPr>
      <w:r>
        <w:t xml:space="preserve">Operational Infrastructure (Hubs/Units): ¥2.2M</w:t>
      </w:r>
    </w:p>
    <w:bookmarkEnd w:id="31"/>
    <w:bookmarkStart w:id="32" w:name="evaluation-metrics"/>
    <w:p>
      <w:pPr>
        <w:pStyle w:val="Heading2"/>
      </w:pPr>
      <w:r>
        <w:t xml:space="preserve">Evaluation Metrics</w:t>
      </w:r>
    </w:p>
    <w:p>
      <w:pPr>
        <w:pStyle w:val="FirstParagraph"/>
      </w:pPr>
      <w:r>
        <w:t xml:space="preserve">Success will be measured through: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Response Time Tracking:</w:t>
      </w:r>
      <w:r>
        <w:t xml:space="preserve"> </w:t>
      </w:r>
      <w:r>
        <w:t xml:space="preserve">Real-time data via GPR’s app; benchmark against Guangzhou city average.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Customer Retention Rate:</w:t>
      </w:r>
      <w:r>
        <w:t xml:space="preserve"> </w:t>
      </w:r>
      <w:r>
        <w:t xml:space="preserve">Target &gt;75% annual renewal for Premium+ members.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Metric Adoption:</w:t>
      </w:r>
      <w:r>
        <w:t xml:space="preserve"> </w:t>
      </w:r>
      <w:r>
        <w:t xml:space="preserve">30% of target corporate clients adopting Enterprise Plans by Year 2.</w:t>
      </w:r>
    </w:p>
    <w:bookmarkEnd w:id="32"/>
    <w:bookmarkStart w:id="33" w:name="Xa3da68d0ebc808ea2835631dbd41fd52529ef10"/>
    <w:p>
      <w:pPr>
        <w:pStyle w:val="Heading2"/>
      </w:pPr>
      <w:r>
        <w:t xml:space="preserve">Conclusion: Serving Guangzhou's Urgent Needs</w:t>
      </w:r>
    </w:p>
    <w:p>
      <w:pPr>
        <w:pStyle w:val="FirstParagraph"/>
      </w:pPr>
      <w:r>
        <w:t xml:space="preserve">This Marketing Plan positions GPR not merely as a service provider but as a transformative force in China Guangzhou’s emergency medical ecosystem. By embedding certified paramedic expertise within the city’s infrastructure and aligning with Guangzhou’s smart-city initiatives, we address critical gaps while establishing a new standard for rapid healthcare response. The plan ensures that every marketing action—from AI-driven dispatch to corporate partnerships—centers on delivering exceptional</w:t>
      </w:r>
      <w:r>
        <w:t xml:space="preserve"> </w:t>
      </w:r>
      <w:r>
        <w:rPr>
          <w:iCs/>
          <w:i/>
        </w:rPr>
        <w:t xml:space="preserve">paramedic</w:t>
      </w:r>
      <w:r>
        <w:t xml:space="preserve"> </w:t>
      </w:r>
      <w:r>
        <w:t xml:space="preserve">care where it matters most: in Guangzhou’s streets, neighborhoods, and workplaces. With this focused strategy, Guangzhou Paramedic Response will become synonymous with life-saving excellence in China’s most dynamic metropolis.</w:t>
      </w:r>
    </w:p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Marketing Plan adheres to all Chinese healthcare regulations and aligns with the National Health Commission’s 2025 Emergency Care Development Guidelines.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Paramedic Services in China Guangzhou</dc:title>
  <dc:creator/>
  <dc:language>en</dc:language>
  <cp:keywords/>
  <dcterms:created xsi:type="dcterms:W3CDTF">2025-12-11T10:59:27Z</dcterms:created>
  <dcterms:modified xsi:type="dcterms:W3CDTF">2025-12-11T10:59:27Z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