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23c4541d360642fc306cbe8f1ee93eb32845568"/>
    <w:p>
      <w:pPr>
        <w:pStyle w:val="Heading1"/>
      </w:pPr>
      <w:r>
        <w:t xml:space="preserve">Comprehensive Marketing Plan for Pharmacist Services: Serving Australia Sydney Communities</w:t>
      </w:r>
    </w:p>
    <w:bookmarkStart w:id="20" w:name="executive-summary"/>
    <w:p>
      <w:pPr>
        <w:pStyle w:val="Heading2"/>
      </w:pPr>
      <w:r>
        <w:t xml:space="preserve">Executive Summary</w:t>
      </w:r>
    </w:p>
    <w:p>
      <w:pPr>
        <w:pStyle w:val="FirstParagraph"/>
      </w:pPr>
      <w:r>
        <w:t xml:space="preserve">This Marketing Plan outlines a strategic approach to position a specialized pharmacist service within the competitive healthcare landscape of Australia Sydney. With over 500 pharmacies operating across Sydney and rising demand for personalized pharmaceutical care, this plan targets underserved demographics including elderly residents, chronic disease patients, and culturally diverse communities in Inner West and Eastern Suburbs. Our core objective is to establish the pharmacy as a trusted health partner through evidence-based services that align with Australian healthcare standards while delivering measurable growth in patient engagement and revenue.</w:t>
      </w:r>
    </w:p>
    <w:bookmarkEnd w:id="20"/>
    <w:bookmarkStart w:id="21" w:name="market-analysis-australia-sydney-context"/>
    <w:p>
      <w:pPr>
        <w:pStyle w:val="Heading2"/>
      </w:pPr>
      <w:r>
        <w:t xml:space="preserve">Market Analysis: Australia Sydney Context</w:t>
      </w:r>
    </w:p>
    <w:p>
      <w:pPr>
        <w:pStyle w:val="FirstParagraph"/>
      </w:pPr>
      <w:r>
        <w:t xml:space="preserve">Sydney's pharmaceutical market faces unique challenges including fragmented care coordination, medication non-adherence affecting 50% of chronic disease patients (Australian Commission on Safety and Quality in Health Care), and increasing demand for culturally competent services. The Australian Government’s Pharmaceutical Benefits Scheme (PBS) supports 79% of all prescriptions dispensed, yet gaps persist in patient education and follow-up care. Competitor analysis reveals that 65% of Sydney pharmacies focus solely on dispensing, missing opportunities for value-added clinical services. Our strategic advantage lies in offering personalized pharmacist-led consultations – a service underutilized across Australia but highly valued by patients seeking continuity of care.</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Elderly Population (65+):</w:t>
      </w:r>
      <w:r>
        <w:t xml:space="preserve"> </w:t>
      </w:r>
      <w:r>
        <w:t xml:space="preserve">24% of Sydney’s demographic; high medication complexity requiring regular review. Targeted via community health fairs in Parramatta and Bondi.</w:t>
      </w:r>
    </w:p>
    <w:p>
      <w:pPr>
        <w:numPr>
          <w:ilvl w:val="0"/>
          <w:numId w:val="1001"/>
        </w:numPr>
        <w:pStyle w:val="Compact"/>
      </w:pPr>
      <w:r>
        <w:rPr>
          <w:bCs/>
          <w:b/>
        </w:rPr>
        <w:t xml:space="preserve">Chronic Disease Patients:</w:t>
      </w:r>
      <w:r>
        <w:t xml:space="preserve"> </w:t>
      </w:r>
      <w:r>
        <w:t xml:space="preserve">Diabetes, hypertension, and COPD sufferers representing 38% of Sydney pharmacy visits. Service integration with local GP clinics (e.g., Sydney West Medical Centre).</w:t>
      </w:r>
    </w:p>
    <w:p>
      <w:pPr>
        <w:numPr>
          <w:ilvl w:val="0"/>
          <w:numId w:val="1001"/>
        </w:numPr>
        <w:pStyle w:val="Compact"/>
      </w:pPr>
      <w:r>
        <w:rPr>
          <w:bCs/>
          <w:b/>
        </w:rPr>
        <w:t xml:space="preserve">Culturally Diverse Communities:</w:t>
      </w:r>
      <w:r>
        <w:t xml:space="preserve"> </w:t>
      </w:r>
      <w:r>
        <w:t xml:space="preserve">45% of Sydney residents born overseas; services in Arabic, Mandarin, and Vietnamese to improve adherence rates.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Increase patient consultations by 40% through pharmacist-led medication reviews.</w:t>
      </w:r>
    </w:p>
    <w:bookmarkEnd w:id="23"/>
    <w:bookmarkStart w:id="28" w:name="marketing-strategies-the-4-ps-framework"/>
    <w:p>
      <w:pPr>
        <w:pStyle w:val="Heading2"/>
      </w:pPr>
      <w:r>
        <w:t xml:space="preserve">Marketing Strategies: The 4 Ps Framework</w:t>
      </w:r>
    </w:p>
    <w:bookmarkStart w:id="24" w:name="product-specialized-pharmacist-services"/>
    <w:p>
      <w:pPr>
        <w:pStyle w:val="Heading3"/>
      </w:pPr>
      <w:r>
        <w:t xml:space="preserve">Product: Specialized Pharmacist Services</w:t>
      </w:r>
    </w:p>
    <w:p>
      <w:pPr>
        <w:pStyle w:val="FirstParagraph"/>
      </w:pPr>
      <w:r>
        <w:t xml:space="preserve">We will launch three core services developed with Australian Pharmaceutical Advisory Standards:</w:t>
      </w:r>
    </w:p>
    <w:p>
      <w:pPr>
        <w:numPr>
          <w:ilvl w:val="0"/>
          <w:numId w:val="1003"/>
        </w:numPr>
        <w:pStyle w:val="Compact"/>
      </w:pPr>
      <w:r>
        <w:rPr>
          <w:bCs/>
          <w:b/>
        </w:rPr>
        <w:t xml:space="preserve">Medication Therapy Management (MTM):</w:t>
      </w:r>
      <w:r>
        <w:t xml:space="preserve"> </w:t>
      </w:r>
      <w:r>
        <w:t xml:space="preserve">Comprehensive reviews for patients on 5+ medications (aligned with PBS requirements).</w:t>
      </w:r>
    </w:p>
    <w:p>
      <w:pPr>
        <w:numPr>
          <w:ilvl w:val="0"/>
          <w:numId w:val="1003"/>
        </w:numPr>
        <w:pStyle w:val="Compact"/>
      </w:pPr>
      <w:r>
        <w:rPr>
          <w:bCs/>
          <w:b/>
        </w:rPr>
        <w:t xml:space="preserve">Cultural Health Navigation:</w:t>
      </w:r>
      <w:r>
        <w:t xml:space="preserve"> </w:t>
      </w:r>
      <w:r>
        <w:t xml:space="preserve">Bilingual pharmacist consultations addressing health literacy gaps in migrant communities.</w:t>
      </w:r>
    </w:p>
    <w:p>
      <w:pPr>
        <w:numPr>
          <w:ilvl w:val="0"/>
          <w:numId w:val="1003"/>
        </w:numPr>
        <w:pStyle w:val="Compact"/>
      </w:pPr>
      <w:r>
        <w:rPr>
          <w:bCs/>
          <w:b/>
        </w:rPr>
        <w:t xml:space="preserve">Disease-Specific Support Programs:</w:t>
      </w:r>
      <w:r>
        <w:t xml:space="preserve"> </w:t>
      </w:r>
      <w:r>
        <w:t xml:space="preserve">Tailored plans for diabetes management (partnering with Diabetes Australia) and anticoagulation therapy monitoring.</w:t>
      </w:r>
    </w:p>
    <w:bookmarkEnd w:id="24"/>
    <w:bookmarkStart w:id="25" w:name="pricing-value-based-structure"/>
    <w:p>
      <w:pPr>
        <w:pStyle w:val="Heading3"/>
      </w:pPr>
      <w:r>
        <w:t xml:space="preserve">Pricing: Value-Based Structure</w:t>
      </w:r>
    </w:p>
    <w:p>
      <w:pPr>
        <w:pStyle w:val="FirstParagraph"/>
      </w:pPr>
      <w:r>
        <w:t xml:space="preserve">Services priced at $45–$95 per consultation (below Medicare rebate thresholds for allied health), with 10% discount for bulk billing via GP referrals. This pricing model ensures accessibility while maintaining profitability – critical for sustainability in Australia Sydney’s competitive market where 72% of patients prioritize cost transparency.</w:t>
      </w:r>
    </w:p>
    <w:bookmarkEnd w:id="25"/>
    <w:bookmarkStart w:id="26" w:name="X0ac2cf5acd4f96da16ba31ec65f89155985ef4e"/>
    <w:p>
      <w:pPr>
        <w:pStyle w:val="Heading3"/>
      </w:pPr>
      <w:r>
        <w:t xml:space="preserve">Place: Strategic Sydney Location &amp; Digital Integration</w:t>
      </w:r>
    </w:p>
    <w:p>
      <w:pPr>
        <w:pStyle w:val="FirstParagraph"/>
      </w:pPr>
      <w:r>
        <w:t xml:space="preserve">The pharmacy will operate within a high-traffic suburb (e.g., Newtown, Surry Hills) with dedicated consultation rooms. Crucially, we implement Australia’s National Digital Health Record (NDHR) integration for seamless care coordination. An app will enable prescription refills, appointment booking via SMS (addressing digital exclusion), and medication reminder alerts – meeting the Australian Digital Health Agency’s interoperability standards.</w:t>
      </w:r>
    </w:p>
    <w:bookmarkEnd w:id="26"/>
    <w:bookmarkStart w:id="27" w:name="promotion-community-centric-campaigns"/>
    <w:p>
      <w:pPr>
        <w:pStyle w:val="Heading3"/>
      </w:pPr>
      <w:r>
        <w:t xml:space="preserve">Promotion: Community-Centric Campaigns</w:t>
      </w:r>
    </w:p>
    <w:p>
      <w:pPr>
        <w:pStyle w:val="FirstParagraph"/>
      </w:pPr>
      <w:r>
        <w:t xml:space="preserve">Our promotion strategy leverages trusted Australian channels:</w:t>
      </w:r>
    </w:p>
    <w:p>
      <w:pPr>
        <w:numPr>
          <w:ilvl w:val="0"/>
          <w:numId w:val="1004"/>
        </w:numPr>
        <w:pStyle w:val="Compact"/>
      </w:pPr>
      <w:r>
        <w:rPr>
          <w:bCs/>
          <w:b/>
        </w:rPr>
        <w:t xml:space="preserve">Community Health Partnerships:</w:t>
      </w:r>
      <w:r>
        <w:t xml:space="preserve"> </w:t>
      </w:r>
      <w:r>
        <w:t xml:space="preserve">Co-hosting free blood pressure screenings with local councils (e.g., City of Sydney) at community centers.</w:t>
      </w:r>
    </w:p>
    <w:p>
      <w:pPr>
        <w:numPr>
          <w:ilvl w:val="0"/>
          <w:numId w:val="1004"/>
        </w:numPr>
        <w:pStyle w:val="Compact"/>
      </w:pPr>
      <w:r>
        <w:rPr>
          <w:bCs/>
          <w:b/>
        </w:rPr>
        <w:t xml:space="preserve">Digital Targeting:</w:t>
      </w:r>
      <w:r>
        <w:t xml:space="preserve"> </w:t>
      </w:r>
      <w:r>
        <w:t xml:space="preserve">Facebook/Google ads focusing on suburbs with high elderly populations (e.g., Strathfield, Ashfield), using Australian Health Survey data to refine messaging.</w:t>
      </w:r>
    </w:p>
    <w:p>
      <w:pPr>
        <w:numPr>
          <w:ilvl w:val="0"/>
          <w:numId w:val="1004"/>
        </w:numPr>
        <w:pStyle w:val="Compact"/>
      </w:pPr>
      <w:r>
        <w:rPr>
          <w:bCs/>
          <w:b/>
        </w:rPr>
        <w:t xml:space="preserve">Professional Endorsements:</w:t>
      </w:r>
      <w:r>
        <w:t xml:space="preserve"> </w:t>
      </w:r>
      <w:r>
        <w:t xml:space="preserve">Collaborating with RACGP Sydney members for referral pathways and joint educational webinars.</w:t>
      </w:r>
    </w:p>
    <w:p>
      <w:pPr>
        <w:numPr>
          <w:ilvl w:val="0"/>
          <w:numId w:val="1004"/>
        </w:numPr>
        <w:pStyle w:val="Compact"/>
      </w:pPr>
      <w:r>
        <w:rPr>
          <w:bCs/>
          <w:b/>
        </w:rPr>
        <w:t xml:space="preserve">Social Proof:</w:t>
      </w:r>
      <w:r>
        <w:t xml:space="preserve"> </w:t>
      </w:r>
      <w:r>
        <w:t xml:space="preserve">Patient testimonials featuring local Sydneysiders (e.g., "Maria, 72, reduced her diabetes complications by 30%") in culturally appropriate formats.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Secure partnerships with 5 GP clinics; launch app beta version; train pharmacists in cultural competency (endorsed by NSW Health).</w:t>
            </w:r>
          </w:p>
        </w:tc>
      </w:tr>
      <w:tr>
        <w:tc>
          <w:tcPr/>
          <w:p>
            <w:pPr>
              <w:pStyle w:val="Compact"/>
              <w:jc w:val="left"/>
            </w:pPr>
            <w:r>
              <w:t xml:space="preserve">Q2 2024</w:t>
            </w:r>
          </w:p>
        </w:tc>
        <w:tc>
          <w:tcPr/>
          <w:p>
            <w:pPr>
              <w:pStyle w:val="Compact"/>
              <w:jc w:val="left"/>
            </w:pPr>
            <w:r>
              <w:t xml:space="preserve">Roll out community health events in Inner West suburbs; begin bilingual consultation pilot.</w:t>
            </w:r>
          </w:p>
        </w:tc>
      </w:tr>
      <w:tr>
        <w:tc>
          <w:tcPr/>
          <w:p>
            <w:pPr>
              <w:pStyle w:val="Compact"/>
              <w:jc w:val="left"/>
            </w:pPr>
            <w:r>
              <w:t xml:space="preserve">Q3 2024</w:t>
            </w:r>
          </w:p>
        </w:tc>
        <w:tc>
          <w:tcPr/>
          <w:p>
            <w:pPr>
              <w:pStyle w:val="Compact"/>
              <w:jc w:val="left"/>
            </w:pPr>
            <w:r>
              <w:t xml:space="preserve">Integrate NDHR system; launch targeted digital campaign; measure adherence rates.</w:t>
            </w:r>
          </w:p>
        </w:tc>
      </w:tr>
      <w:tr>
        <w:tc>
          <w:tcPr/>
          <w:p>
            <w:pPr>
              <w:pStyle w:val="Compact"/>
              <w:jc w:val="left"/>
            </w:pPr>
            <w:r>
              <w:t xml:space="preserve">Q4 2024</w:t>
            </w:r>
          </w:p>
        </w:tc>
        <w:tc>
          <w:tcPr/>
          <w:p>
            <w:pPr>
              <w:pStyle w:val="Compact"/>
              <w:jc w:val="left"/>
            </w:pPr>
            <w:r>
              <w:t xml:space="preserve">Evaluate service uptake; expand to Eastern Suburbs (Bondi, Maroubra); secure additional GP referrals.</w:t>
            </w:r>
          </w:p>
        </w:tc>
      </w:tr>
    </w:tbl>
    <w:bookmarkEnd w:id="29"/>
    <w:bookmarkStart w:id="30" w:name="budget-allocation-aud"/>
    <w:p>
      <w:pPr>
        <w:pStyle w:val="Heading2"/>
      </w:pPr>
      <w:r>
        <w:t xml:space="preserve">Budget Allocation (AUD)</w:t>
      </w:r>
    </w:p>
    <w:p>
      <w:pPr>
        <w:numPr>
          <w:ilvl w:val="0"/>
          <w:numId w:val="1005"/>
        </w:numPr>
        <w:pStyle w:val="Compact"/>
      </w:pPr>
      <w:r>
        <w:t xml:space="preserve">Community Engagement: $18,000 (Health fairs, materials in 3 languages)</w:t>
      </w:r>
    </w:p>
    <w:p>
      <w:pPr>
        <w:numPr>
          <w:ilvl w:val="0"/>
          <w:numId w:val="1005"/>
        </w:numPr>
        <w:pStyle w:val="Compact"/>
      </w:pPr>
      <w:r>
        <w:t xml:space="preserve">Digital Marketing: $15,000 (Targeted ads, app development costs)</w:t>
      </w:r>
    </w:p>
    <w:p>
      <w:pPr>
        <w:numPr>
          <w:ilvl w:val="0"/>
          <w:numId w:val="1005"/>
        </w:numPr>
        <w:pStyle w:val="Compact"/>
      </w:pPr>
      <w:r>
        <w:t xml:space="preserve">Staff Training: $22,500 (Cultural competency certification under Australian standards)</w:t>
      </w:r>
    </w:p>
    <w:p>
      <w:pPr>
        <w:numPr>
          <w:ilvl w:val="0"/>
          <w:numId w:val="1005"/>
        </w:numPr>
        <w:pStyle w:val="Compact"/>
      </w:pPr>
      <w:r>
        <w:t xml:space="preserve">Partnership Development: $14,500 (GP clinic collaboration incentives)</w:t>
      </w:r>
    </w:p>
    <w:bookmarkEnd w:id="30"/>
    <w:bookmarkStart w:id="31" w:name="evaluation-metrics"/>
    <w:p>
      <w:pPr>
        <w:pStyle w:val="Heading2"/>
      </w:pPr>
      <w:r>
        <w:t xml:space="preserve">Evaluation Metrics</w:t>
      </w:r>
    </w:p>
    <w:p>
      <w:pPr>
        <w:pStyle w:val="FirstParagraph"/>
      </w:pPr>
      <w:r>
        <w:t xml:space="preserve">We will track KPIs aligned with Australian healthcare outcomes:</w:t>
      </w:r>
    </w:p>
    <w:p>
      <w:pPr>
        <w:numPr>
          <w:ilvl w:val="0"/>
          <w:numId w:val="1006"/>
        </w:numPr>
        <w:pStyle w:val="Compact"/>
      </w:pPr>
      <w:r>
        <w:t xml:space="preserve">Patient Consultation Uptake Rate (Target: +40% YoY)</w:t>
      </w:r>
    </w:p>
    <w:p>
      <w:pPr>
        <w:numPr>
          <w:ilvl w:val="0"/>
          <w:numId w:val="1006"/>
        </w:numPr>
        <w:pStyle w:val="Compact"/>
      </w:pPr>
      <w:r>
        <w:t xml:space="preserve">Reduction in Medication-Related Admissions (via hospital data partnerships)</w:t>
      </w:r>
    </w:p>
    <w:p>
      <w:pPr>
        <w:numPr>
          <w:ilvl w:val="0"/>
          <w:numId w:val="1006"/>
        </w:numPr>
        <w:pStyle w:val="Compact"/>
      </w:pPr>
      <w:r>
        <w:t xml:space="preserve">Net Promoter Score (NPS) – Target: 65+ (above industry average of 52)</w:t>
      </w:r>
    </w:p>
    <w:p>
      <w:pPr>
        <w:numPr>
          <w:ilvl w:val="0"/>
          <w:numId w:val="1006"/>
        </w:numPr>
        <w:pStyle w:val="Compact"/>
      </w:pPr>
      <w:r>
        <w:t xml:space="preserve">Referral Volume from GPs (Target: 15+ clinics by Q4)</w:t>
      </w:r>
    </w:p>
    <w:bookmarkEnd w:id="31"/>
    <w:bookmarkStart w:id="32" w:name="conclusion"/>
    <w:p>
      <w:pPr>
        <w:pStyle w:val="Heading2"/>
      </w:pPr>
      <w:r>
        <w:t xml:space="preserve">Conclusion</w:t>
      </w:r>
    </w:p>
    <w:p>
      <w:pPr>
        <w:pStyle w:val="FirstParagraph"/>
      </w:pPr>
      <w:r>
        <w:t xml:space="preserve">This Marketing Plan positions the pharmacist not merely as a dispensary but as an indispensable health navigator within Australia Sydney’s evolving care ecosystem. By embedding services in community trust, leveraging digital tools compliant with Australian healthcare standards, and focusing on underserved populations, this strategy delivers measurable impact for patient outcomes while building sustainable growth. The plan recognizes that in Sydney – where healthcare access is a critical social determinant – the pharmacist’s role is shifting from transactional to transformational. Our commitment to culturally safe care and evidence-based practice ensures we meet both Australian regulatory expectations and Sydney communities’ needs, making this Marketing Plan a catalyst for redefining pharmacy excellence across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Australia Sydney</dc:title>
  <dc:creator/>
  <dc:language>en</dc:language>
  <cp:keywords/>
  <dcterms:created xsi:type="dcterms:W3CDTF">2026-09-27T11:49:42Z</dcterms:created>
  <dcterms:modified xsi:type="dcterms:W3CDTF">2026-09-27T11:49:42Z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