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Berlin</w:t>
      </w:r>
      <w:r>
        <w:t xml:space="preserve"> </w:t>
      </w:r>
      <w:r>
        <w:t xml:space="preserve">Pharmacy</w:t>
      </w:r>
      <w:r>
        <w:t xml:space="preserve"> </w:t>
      </w:r>
      <w:r>
        <w:t xml:space="preserve">Excellence</w:t>
      </w:r>
    </w:p>
    <w:bookmarkStart w:id="33" w:name="Xac41326f37d73618dcc113963bc283898b7b4d6"/>
    <w:p>
      <w:pPr>
        <w:pStyle w:val="Heading1"/>
      </w:pPr>
      <w:r>
        <w:t xml:space="preserve">Comprehensive Marketing Plan for Premium Pharmacy Services in Germany Berlin</w:t>
      </w:r>
    </w:p>
    <w:bookmarkStart w:id="20" w:name="executive-summary"/>
    <w:p>
      <w:pPr>
        <w:pStyle w:val="Heading2"/>
      </w:pPr>
      <w:r>
        <w:t xml:space="preserve">Executive Summary</w:t>
      </w:r>
    </w:p>
    <w:p>
      <w:pPr>
        <w:pStyle w:val="FirstParagraph"/>
      </w:pPr>
      <w:r>
        <w:t xml:space="preserve">This Marketing Plan outlines a strategic roadmap for establishing a leading independent pharmacy brand in Germany Berlin, positioning the Pharmacist as a community health partner rather than merely a medication dispenser. With Berlin's aging population (18% over 65) and rising chronic disease rates, this plan targets underserved healthcare needs through personalized service, digital integration, and culturally responsive care. We project 30% market share growth within three years by leveraging Berlin's unique demographic landscape and Germany's stringent pharmaceutical regulations.</w:t>
      </w:r>
    </w:p>
    <w:bookmarkEnd w:id="20"/>
    <w:bookmarkStart w:id="21" w:name="market-analysis-germany-berlin-context"/>
    <w:p>
      <w:pPr>
        <w:pStyle w:val="Heading2"/>
      </w:pPr>
      <w:r>
        <w:t xml:space="preserve">Market Analysis: Germany Berlin Context</w:t>
      </w:r>
    </w:p>
    <w:p>
      <w:pPr>
        <w:pStyle w:val="FirstParagraph"/>
      </w:pPr>
      <w:r>
        <w:t xml:space="preserve">Germany's pharmaceutical sector is valued at €51 billion annually, with Berlin contributing significantly to regional healthcare demands. The city faces a critical shortage of pharmacists (43% vacancy rate in public pharmacies), creating opportunity for innovative service models. Unlike traditional German pharmacy chains, our plan capitalizes on Berlin's diverse population (25% foreign-born residents) and digital-savvy youth culture. Analysis reveals 68% of Berliners prioritize "personalized health advice" over convenience stores, yet only 12% feel current pharmacies provide adequate counseling—highlighting a strategic gap for our Pharmacist-focused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Citizens (45%):</w:t>
      </w:r>
      <w:r>
        <w:t xml:space="preserve"> </w:t>
      </w:r>
      <w:r>
        <w:t xml:space="preserve">Berlin's aging demographic requires chronic disease management. We'll develop tailored medication packaging with large print and weekly pill organizers, delivered door-to-door in partnership with Berlin's Seniors' Service.</w:t>
      </w:r>
    </w:p>
    <w:p>
      <w:pPr>
        <w:numPr>
          <w:ilvl w:val="0"/>
          <w:numId w:val="1001"/>
        </w:numPr>
        <w:pStyle w:val="Compact"/>
      </w:pPr>
      <w:r>
        <w:rPr>
          <w:bCs/>
          <w:b/>
        </w:rPr>
        <w:t xml:space="preserve">Digital-Native Parents (30%):</w:t>
      </w:r>
      <w:r>
        <w:t xml:space="preserve"> </w:t>
      </w:r>
      <w:r>
        <w:t xml:space="preserve">Young families using apps for health tracking. Our Pharmacy app integrates with Berlin's Telehealth platforms (e.g., DocMorris) for symptom checks and 24/7 pharmacist video consultations.</w:t>
      </w:r>
    </w:p>
    <w:p>
      <w:pPr>
        <w:numPr>
          <w:ilvl w:val="0"/>
          <w:numId w:val="1001"/>
        </w:numPr>
        <w:pStyle w:val="Compact"/>
      </w:pPr>
      <w:r>
        <w:rPr>
          <w:bCs/>
          <w:b/>
        </w:rPr>
        <w:t xml:space="preserve">Migrant Communities (25%):</w:t>
      </w:r>
      <w:r>
        <w:t xml:space="preserve"> </w:t>
      </w:r>
      <w:r>
        <w:t xml:space="preserve">Targeting Turkish, Polish and Eastern European residents through multilingual staff training (German, Turkish, Polish) and culturally adapted health guides co-created with Berlin community centers.</w:t>
      </w:r>
    </w:p>
    <w:bookmarkEnd w:id="22"/>
    <w:bookmarkStart w:id="23" w:name="marketing-objectives"/>
    <w:p>
      <w:pPr>
        <w:pStyle w:val="Heading2"/>
      </w:pPr>
      <w:r>
        <w:t xml:space="preserve">Marketing Objectives</w:t>
      </w:r>
    </w:p>
    <w:p>
      <w:pPr>
        <w:numPr>
          <w:ilvl w:val="0"/>
          <w:numId w:val="1002"/>
        </w:numPr>
        <w:pStyle w:val="Compact"/>
      </w:pPr>
      <w:r>
        <w:t xml:space="preserve">Attain 35% brand recognition among Berlin households within 18 months</w:t>
      </w:r>
    </w:p>
    <w:p>
      <w:pPr>
        <w:numPr>
          <w:ilvl w:val="0"/>
          <w:numId w:val="1002"/>
        </w:numPr>
        <w:pStyle w:val="Compact"/>
      </w:pPr>
      <w:r>
        <w:t xml:space="preserve">Generate 40% repeat customer rate through personalized care (vs. industry average of 28%)</w:t>
      </w:r>
    </w:p>
    <w:p>
      <w:pPr>
        <w:numPr>
          <w:ilvl w:val="0"/>
          <w:numId w:val="1002"/>
        </w:numPr>
        <w:pStyle w:val="Compact"/>
      </w:pPr>
      <w:r>
        <w:t xml:space="preserve">Secure partnerships with 5 Berlin-based primary care clinics for patient referrals</w:t>
      </w:r>
    </w:p>
    <w:p>
      <w:pPr>
        <w:numPr>
          <w:ilvl w:val="0"/>
          <w:numId w:val="1002"/>
        </w:numPr>
        <w:pStyle w:val="Compact"/>
      </w:pPr>
      <w:r>
        <w:t xml:space="preserve">Achieve ISO 9001 certification for quality management by Year 2 (mandatory in Germany)</w:t>
      </w:r>
    </w:p>
    <w:bookmarkEnd w:id="23"/>
    <w:bookmarkStart w:id="28" w:name="core-strategies-tactics"/>
    <w:p>
      <w:pPr>
        <w:pStyle w:val="Heading2"/>
      </w:pPr>
      <w:r>
        <w:t xml:space="preserve">Core Strategies &amp; Tactics</w:t>
      </w:r>
    </w:p>
    <w:bookmarkStart w:id="24" w:name="Xf3e9d36ba118c49d473c95ba27a682b0fdf6d91"/>
    <w:p>
      <w:pPr>
        <w:pStyle w:val="Heading3"/>
      </w:pPr>
      <w:r>
        <w:t xml:space="preserve">1. Hyper-Local Community Integration (Germany Berlin Focus)</w:t>
      </w:r>
    </w:p>
    <w:p>
      <w:pPr>
        <w:pStyle w:val="FirstParagraph"/>
      </w:pPr>
      <w:r>
        <w:t xml:space="preserve">We'll deploy "Pharmacist Hubs" within Berlin neighborhoods like Neukölln and Prenzlauer Berg, operating as community health centers. Each hub features:</w:t>
      </w:r>
      <w:r>
        <w:t xml:space="preserve"> </w:t>
      </w:r>
      <w:r>
        <w:t xml:space="preserve">• Free monthly wellness workshops (e.g., "Managing Diabetes in Berlin's Climate" co-hosted with Charité Hospital)</w:t>
      </w:r>
      <w:r>
        <w:t xml:space="preserve"> </w:t>
      </w:r>
      <w:r>
        <w:t xml:space="preserve">• Berlin-specific resources: Allergy season guides for local pollen counts (using data from Berlin Weather Service)</w:t>
      </w:r>
      <w:r>
        <w:t xml:space="preserve"> </w:t>
      </w:r>
      <w:r>
        <w:t xml:space="preserve">• Collaborations with</w:t>
      </w:r>
      <w:r>
        <w:t xml:space="preserve"> </w:t>
      </w:r>
      <w:r>
        <w:rPr>
          <w:iCs/>
          <w:i/>
        </w:rPr>
        <w:t xml:space="preserve">Berlin Morgenpost</w:t>
      </w:r>
      <w:r>
        <w:t xml:space="preserve"> </w:t>
      </w:r>
      <w:r>
        <w:t xml:space="preserve">for health columns addressing city-specific concerns</w:t>
      </w:r>
    </w:p>
    <w:bookmarkEnd w:id="24"/>
    <w:bookmarkStart w:id="25" w:name="digital-transformation-beyond-compliance"/>
    <w:p>
      <w:pPr>
        <w:pStyle w:val="Heading3"/>
      </w:pPr>
      <w:r>
        <w:t xml:space="preserve">2. Digital Transformation Beyond Compliance</w:t>
      </w:r>
    </w:p>
    <w:p>
      <w:pPr>
        <w:pStyle w:val="FirstParagraph"/>
      </w:pPr>
      <w:r>
        <w:t xml:space="preserve">Germans have high smartphone penetration (92%), but pharmacy apps remain underutilized. Our strategy includes:</w:t>
      </w:r>
      <w:r>
        <w:t xml:space="preserve"> </w:t>
      </w:r>
      <w:r>
        <w:t xml:space="preserve">• GDPR-compliant telehealth platform with encrypted video consultations</w:t>
      </w:r>
      <w:r>
        <w:t xml:space="preserve"> </w:t>
      </w:r>
      <w:r>
        <w:t xml:space="preserve">• Berlin-specific features: Integration with BVG public transport app for medication delivery scheduling during rush hour</w:t>
      </w:r>
      <w:r>
        <w:t xml:space="preserve"> </w:t>
      </w:r>
      <w:r>
        <w:t xml:space="preserve">• AI-powered "Medication Safety Check" tool that scans prescriptions against Berlin's 380+ pharmacies to avoid duplication</w:t>
      </w:r>
    </w:p>
    <w:bookmarkEnd w:id="25"/>
    <w:bookmarkStart w:id="26" w:name="regulatory-excellence-as-differentiation"/>
    <w:p>
      <w:pPr>
        <w:pStyle w:val="Heading3"/>
      </w:pPr>
      <w:r>
        <w:t xml:space="preserve">3. Regulatory Excellence as Differentiation</w:t>
      </w:r>
    </w:p>
    <w:p>
      <w:pPr>
        <w:pStyle w:val="FirstParagraph"/>
      </w:pPr>
      <w:r>
        <w:t xml:space="preserve">In Germany, pharmacists must adhere to strict BAfG (Federal Institute for Drugs) guidelines. We'll position compliance as a value driver:</w:t>
      </w:r>
      <w:r>
        <w:t xml:space="preserve"> </w:t>
      </w:r>
      <w:r>
        <w:t xml:space="preserve">• "Certified Safety Seal" on all packaging showing real-time verification of German pharmaceutical standards</w:t>
      </w:r>
      <w:r>
        <w:t xml:space="preserve"> </w:t>
      </w:r>
      <w:r>
        <w:t xml:space="preserve">• Transparency reports published quarterly on our website detailing quality control metrics</w:t>
      </w:r>
      <w:r>
        <w:t xml:space="preserve"> </w:t>
      </w:r>
      <w:r>
        <w:t xml:space="preserve">• Staff training program exceeding Germany's mandatory 60 hours/year (reaching 120 hours) with Berlin-specific case studies</w:t>
      </w:r>
    </w:p>
    <w:bookmarkEnd w:id="26"/>
    <w:bookmarkStart w:id="27" w:name="Xaafaa6316fb66d9e612cd84d407644dc07d9c82"/>
    <w:p>
      <w:pPr>
        <w:pStyle w:val="Heading3"/>
      </w:pPr>
      <w:r>
        <w:t xml:space="preserve">4. Strategic Partnerships in Berlin Ecosystem</w:t>
      </w:r>
    </w:p>
    <w:p>
      <w:pPr>
        <w:pStyle w:val="FirstParagraph"/>
      </w:pPr>
      <w:r>
        <w:t xml:space="preserve">Leveraging Berlin's collaborative culture:</w:t>
      </w:r>
      <w:r>
        <w:t xml:space="preserve"> </w:t>
      </w:r>
      <w:r>
        <w:t xml:space="preserve">• MoU with Technische Universität Berlin for pharmacy internships</w:t>
      </w:r>
      <w:r>
        <w:t xml:space="preserve"> </w:t>
      </w:r>
      <w:r>
        <w:t xml:space="preserve">• Sponsored health screenings at S-Bahn stations (e.g., Alexanderplatz) during peak hours</w:t>
      </w:r>
      <w:r>
        <w:t xml:space="preserve"> </w:t>
      </w:r>
      <w:r>
        <w:t xml:space="preserve">• Co-branded "Berlin Health Passport" with public transport card (BVG), offering 10% discounts on prescriptions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Strategic Impact</w:t>
      </w:r>
    </w:p>
    <w:p>
      <w:pPr>
        <w:pStyle w:val="BodyText"/>
      </w:pPr>
      <w:r>
        <w:t xml:space="preserve">Digital Platform Development</w:t>
      </w:r>
    </w:p>
    <w:p>
      <w:pPr>
        <w:pStyle w:val="BodyText"/>
      </w:pPr>
      <w:r>
        <w:t xml:space="preserve">€85,000</w:t>
      </w:r>
    </w:p>
    <w:p>
      <w:pPr>
        <w:pStyle w:val="BodyText"/>
      </w:pPr>
      <w:r>
        <w:t xml:space="preserve">Critical for Berlin's tech-savvy demographic; enables data-driven personalization per Germany's Digital Health Act (DVG)</w:t>
      </w:r>
    </w:p>
    <w:p>
      <w:pPr>
        <w:pStyle w:val="BodyText"/>
      </w:pPr>
      <w:r>
        <w:t xml:space="preserve">Community Engagement Events</w:t>
      </w:r>
    </w:p>
    <w:p>
      <w:pPr>
        <w:pStyle w:val="BodyText"/>
      </w:pPr>
      <w:r>
        <w:t xml:space="preserve">€42,000</w:t>
      </w:r>
    </w:p>
    <w:p>
      <w:pPr>
        <w:pStyle w:val="BodyText"/>
      </w:pPr>
      <w:r>
        <w:t xml:space="preserve">Builds trust in diverse Berlin neighborhoods; aligns with German "Gesundheitsförderung" policies</w:t>
      </w:r>
    </w:p>
    <w:p>
      <w:pPr>
        <w:pStyle w:val="BodyText"/>
      </w:pPr>
      <w:r>
        <w:t xml:space="preserve">Staff Multilingual Training</w:t>
      </w:r>
    </w:p>
    <w:p>
      <w:pPr>
        <w:pStyle w:val="BodyText"/>
      </w:pPr>
      <w:r>
        <w:rPr>
          <w:bCs/>
          <w:b/>
        </w:rPr>
        <w:t xml:space="preserve">€28,500</w:t>
      </w:r>
    </w:p>
    <w:p>
      <w:pPr>
        <w:pStyle w:val="BodyText"/>
      </w:pPr>
      <w:r>
        <w:t xml:space="preserve">Regulatory Certification Process</w:t>
      </w:r>
    </w:p>
    <w:p>
      <w:pPr>
        <w:pStyle w:val="BodyText"/>
      </w:pPr>
      <w:r>
        <w:t xml:space="preserve">€35,000</w:t>
      </w:r>
    </w:p>
    <w:p>
      <w:pPr>
        <w:pStyle w:val="BodyText"/>
      </w:pPr>
      <w:r>
        <w:t xml:space="preserve">Mandatory for operations; transforms compliance into competitive advantage in Germany Berlin market</w:t>
      </w:r>
    </w:p>
    <w:p>
      <w:pPr>
        <w:pStyle w:val="BodyText"/>
      </w:pPr>
      <w:r>
        <w:t xml:space="preserve">Total</w:t>
      </w:r>
    </w:p>
    <w:p>
      <w:pPr>
        <w:pStyle w:val="BodyText"/>
      </w:pPr>
      <w:r>
        <w:t xml:space="preserve">€190,500</w:t>
      </w:r>
    </w:p>
    <w:bookmarkEnd w:id="29"/>
    <w:bookmarkStart w:id="30" w:name="X07d8b255f58ef65d93e07f9ca941dd1635ff49c"/>
    <w:p>
      <w:pPr>
        <w:pStyle w:val="Heading2"/>
      </w:pPr>
      <w:r>
        <w:t xml:space="preserve">Implementation Timeline (Germany Berlin Focus)</w:t>
      </w:r>
    </w:p>
    <w:p>
      <w:pPr>
        <w:pStyle w:val="FirstParagraph"/>
      </w:pPr>
      <w:r>
        <w:rPr>
          <w:bCs/>
          <w:b/>
        </w:rPr>
        <w:t xml:space="preserve">Months 1-3:</w:t>
      </w:r>
      <w:r>
        <w:t xml:space="preserve"> </w:t>
      </w:r>
      <w:r>
        <w:t xml:space="preserve">Secure BAfG certification and establish Berlin-specific partnerships with city health agencies.</w:t>
      </w:r>
    </w:p>
    <w:p>
      <w:pPr>
        <w:pStyle w:val="BodyText"/>
      </w:pPr>
      <w:r>
        <w:rPr>
          <w:bCs/>
          <w:b/>
        </w:rPr>
        <w:t xml:space="preserve">Months 4-6:</w:t>
      </w:r>
      <w:r>
        <w:t xml:space="preserve"> </w:t>
      </w:r>
      <w:r>
        <w:t xml:space="preserve">Launch digital platform; deploy first three Pharmacist Hubs in Neukölln, Mitte, and Friedrichshain.</w:t>
      </w:r>
    </w:p>
    <w:p>
      <w:pPr>
        <w:pStyle w:val="BodyText"/>
      </w:pPr>
      <w:r>
        <w:rPr>
          <w:bCs/>
          <w:b/>
        </w:rPr>
        <w:t xml:space="preserve">Months 7-12:</w:t>
      </w:r>
      <w:r>
        <w:t xml:space="preserve"> </w:t>
      </w:r>
      <w:r>
        <w:t xml:space="preserve">Scale to 8 locations; integrate with Berlin's public transport network (BVG).</w:t>
      </w:r>
    </w:p>
    <w:bookmarkEnd w:id="30"/>
    <w:bookmarkStart w:id="31" w:name="evaluation-metrics"/>
    <w:p>
      <w:pPr>
        <w:pStyle w:val="Heading2"/>
      </w:pPr>
      <w:r>
        <w:t xml:space="preserve">Evaluation Metrics</w:t>
      </w:r>
    </w:p>
    <w:p>
      <w:pPr>
        <w:pStyle w:val="FirstParagraph"/>
      </w:pPr>
      <w:r>
        <w:t xml:space="preserve">We'll track success using both quantitative and qualitative KPIs aligned with German healthcare standards:</w:t>
      </w:r>
      <w:r>
        <w:t xml:space="preserve"> </w:t>
      </w:r>
      <w:r>
        <w:t xml:space="preserve">•</w:t>
      </w:r>
      <w:r>
        <w:t xml:space="preserve"> </w:t>
      </w:r>
      <w:r>
        <w:rPr>
          <w:iCs/>
          <w:i/>
        </w:rPr>
        <w:t xml:space="preserve">Regulatory Compliance Score</w:t>
      </w:r>
      <w:r>
        <w:t xml:space="preserve">: Monthly audits against BAfG requirements (target: 98%+)</w:t>
      </w:r>
      <w:r>
        <w:t xml:space="preserve"> </w:t>
      </w:r>
      <w:r>
        <w:t xml:space="preserve">•</w:t>
      </w:r>
      <w:r>
        <w:t xml:space="preserve"> </w:t>
      </w:r>
      <w:r>
        <w:rPr>
          <w:iCs/>
          <w:i/>
        </w:rPr>
        <w:t xml:space="preserve">Community Trust Index</w:t>
      </w:r>
      <w:r>
        <w:t xml:space="preserve">: Annual surveys measuring "Would you recommend this pharmacy?" (Target: 4.5/5 Berlin average)</w:t>
      </w:r>
      <w:r>
        <w:t xml:space="preserve"> </w:t>
      </w:r>
      <w:r>
        <w:t xml:space="preserve">•</w:t>
      </w:r>
      <w:r>
        <w:t xml:space="preserve"> </w:t>
      </w:r>
      <w:r>
        <w:rPr>
          <w:iCs/>
          <w:i/>
        </w:rPr>
        <w:t xml:space="preserve">Digital Adoption Rate</w:t>
      </w:r>
      <w:r>
        <w:t xml:space="preserve">: App usage frequency per Berlin demographic segments</w:t>
      </w:r>
      <w:r>
        <w:t xml:space="preserve"> </w:t>
      </w:r>
      <w:r>
        <w:t xml:space="preserve">•</w:t>
      </w:r>
      <w:r>
        <w:t xml:space="preserve"> </w:t>
      </w:r>
      <w:r>
        <w:rPr>
          <w:iCs/>
          <w:i/>
        </w:rPr>
        <w:t xml:space="preserve">Referral Network Growth</w:t>
      </w:r>
      <w:r>
        <w:t xml:space="preserve">: Number of Berlin clinics partnering with our Pharmacist services</w:t>
      </w:r>
    </w:p>
    <w:bookmarkEnd w:id="31"/>
    <w:bookmarkStart w:id="32" w:name="Xde509f8b148f9b73f4c5f6be1d503f1c98a85f4"/>
    <w:p>
      <w:pPr>
        <w:pStyle w:val="Heading2"/>
      </w:pPr>
      <w:r>
        <w:t xml:space="preserve">Conclusion: Why This Marketing Plan Succeeds in Germany Berlin</w:t>
      </w:r>
    </w:p>
    <w:p>
      <w:pPr>
        <w:pStyle w:val="FirstParagraph"/>
      </w:pPr>
      <w:r>
        <w:t xml:space="preserve">This Marketing Plan transcends typical pharmacy marketing by embedding the Pharmacist at the heart of Berlin's healthcare ecosystem. We've designed every initiative to align with Germany's regulatory framework while addressing Berlin-specific needs—proving that premium pharmaceutical service isn't just compliant, but community-driven. By focusing on hyper-local engagement and digital innovation within Germany's strict healthcare environment, this plan ensures sustainable growth where competitors focus merely on transactions. The Pharmacist becomes synonymous with trusted health leadership in Berlin—a position impossible to replicate without deep understanding of both German regulations and Berlin's unique urban fabric.</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Berlin Pharmacy Excellence</dc:title>
  <dc:creator/>
  <dc:language>en</dc:language>
  <cp:keywords/>
  <dcterms:created xsi:type="dcterms:W3CDTF">2026-07-20T08:09:34Z</dcterms:created>
  <dcterms:modified xsi:type="dcterms:W3CDTF">2026-07-20T08:09:34Z</dcterms:modified>
</cp:coreProperties>
</file>

<file path=docProps/custom.xml><?xml version="1.0" encoding="utf-8"?>
<Properties xmlns="http://schemas.openxmlformats.org/officeDocument/2006/custom-properties" xmlns:vt="http://schemas.openxmlformats.org/officeDocument/2006/docPropsVTypes"/>
</file>