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2" w:name="X55b607f6e278dec66a750af738d45fe8eb76f98"/>
    <w:p>
      <w:pPr>
        <w:pStyle w:val="Heading1"/>
      </w:pPr>
      <w:r>
        <w:t xml:space="preserve">Comprehensive Marketing Plan for Pharmacy Services in Germany Frankfurt</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pharmacy service within Germany Frankfurt. As the second-largest financial hub in Europe with over 750,000 residents, Frankfurt presents significant opportunities for a forward-thinking Pharmacist to differentiate through patient-centered care. Our strategy focuses on digital integration, community health partnerships, and evidence-based pharmaceutical services tailored to Frankfurt's diverse population. We project a 25% increase in patient retention and 18% market share growth within 18 months through targeted engagement with Frankfurt's healthcare ecosystem.</w:t>
      </w:r>
    </w:p>
    <w:bookmarkEnd w:id="20"/>
    <w:bookmarkStart w:id="21" w:name="Xc7ec880902e2b24a39d068867a065717762a3b8"/>
    <w:p>
      <w:pPr>
        <w:pStyle w:val="Heading2"/>
      </w:pPr>
      <w:r>
        <w:t xml:space="preserve">Market Analysis: Germany Frankfurt Context</w:t>
      </w:r>
    </w:p>
    <w:p>
      <w:pPr>
        <w:pStyle w:val="FirstParagraph"/>
      </w:pPr>
      <w:r>
        <w:t xml:space="preserve">Frankfurt's pharmaceutical landscape is characterized by high demand for accessible, tech-enabled healthcare services. With a rapidly aging population (24% over 60 years) and dense urban demographics, the city requires pharmacies that bridge traditional care with modern convenience. Competitors in Germany Frankfurt primarily offer standard medication dispensing but lack integrated health management systems. A recent DAK Health Report confirms 72% of Frankfurt residents prioritize "personalized pharmaceutical consultations" over price alone – a critical gap our Marketing Plan addresses.</w:t>
      </w:r>
    </w:p>
    <w:p>
      <w:pPr>
        <w:pStyle w:val="BodyText"/>
      </w:pPr>
      <w:r>
        <w:t xml:space="preserve">Key challenges include regulatory compliance (German Apothekenordnung), competition from chain pharmacies, and digital literacy barriers among elderly patients. However, Frankfurt's robust healthcare infrastructure offers unique advantages: 30+ hospitals within 15km, strong public health initiatives from the city government, and high smartphone penetration (87%) enabling digital engagement.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Frankfurt residents aged 45-75 with chronic conditions (diabetes, hypertension) seeking medication management. This segment represents 38% of Frankfurt's pharmacy visits according to Statista 2023.</w:t>
      </w:r>
    </w:p>
    <w:p>
      <w:pPr>
        <w:numPr>
          <w:ilvl w:val="0"/>
          <w:numId w:val="1001"/>
        </w:numPr>
        <w:pStyle w:val="Compact"/>
      </w:pPr>
      <w:r>
        <w:rPr>
          <w:bCs/>
          <w:b/>
        </w:rPr>
        <w:t xml:space="preserve">Secondary Audience:</w:t>
      </w:r>
      <w:r>
        <w:t xml:space="preserve"> </w:t>
      </w:r>
      <w:r>
        <w:t xml:space="preserve">Young families (25-40 years) in inner-city districts like Sachsenhausen and Bornheim prioritizing pediatric care and wellness products.</w:t>
      </w:r>
    </w:p>
    <w:p>
      <w:pPr>
        <w:numPr>
          <w:ilvl w:val="0"/>
          <w:numId w:val="1001"/>
        </w:numPr>
        <w:pStyle w:val="Compact"/>
      </w:pPr>
      <w:r>
        <w:rPr>
          <w:bCs/>
          <w:b/>
        </w:rPr>
        <w:t xml:space="preserve">Tertiary Audience:</w:t>
      </w:r>
      <w:r>
        <w:t xml:space="preserve"> </w:t>
      </w:r>
      <w:r>
        <w:t xml:space="preserve">International business professionals (15% of Frankfurt's population) requiring travel health consultations and emergency medication access.</w:t>
      </w:r>
    </w:p>
    <w:bookmarkEnd w:id="22"/>
    <w:bookmarkStart w:id="23" w:name="marketing-objectives"/>
    <w:p>
      <w:pPr>
        <w:pStyle w:val="Heading2"/>
      </w:pPr>
      <w:r>
        <w:t xml:space="preserve">Marketing Objectives</w:t>
      </w:r>
    </w:p>
    <w:p>
      <w:pPr>
        <w:pStyle w:val="FirstParagraph"/>
      </w:pPr>
      <w:r>
        <w:t xml:space="preserve">SMART goals for the first year in Germany Frankfurt:</w:t>
      </w:r>
    </w:p>
    <w:p>
      <w:pPr>
        <w:numPr>
          <w:ilvl w:val="0"/>
          <w:numId w:val="1002"/>
        </w:numPr>
        <w:pStyle w:val="Compact"/>
      </w:pPr>
      <w:r>
        <w:rPr>
          <w:bCs/>
          <w:b/>
        </w:rPr>
        <w:t xml:space="preserve">Brand Awareness:</w:t>
      </w:r>
      <w:r>
        <w:t xml:space="preserve"> </w:t>
      </w:r>
      <w:r>
        <w:t xml:space="preserve">Achieve 65% recognition among target demographic within 12 months (vs. current 30%).</w:t>
      </w:r>
    </w:p>
    <w:p>
      <w:pPr>
        <w:numPr>
          <w:ilvl w:val="0"/>
          <w:numId w:val="1002"/>
        </w:numPr>
        <w:pStyle w:val="Compact"/>
      </w:pPr>
      <w:r>
        <w:rPr>
          <w:bCs/>
          <w:b/>
        </w:rPr>
        <w:t xml:space="preserve">Patient Acquisition:</w:t>
      </w:r>
      <w:r>
        <w:t xml:space="preserve"> </w:t>
      </w:r>
      <w:r>
        <w:t xml:space="preserve">Gain 1,200 new patients via digital channels and community partnerships.</w:t>
      </w:r>
    </w:p>
    <w:p>
      <w:pPr>
        <w:numPr>
          <w:ilvl w:val="0"/>
          <w:numId w:val="1002"/>
        </w:numPr>
        <w:pStyle w:val="Compact"/>
      </w:pPr>
      <w:r>
        <w:rPr>
          <w:bCs/>
          <w:b/>
        </w:rPr>
        <w:t xml:space="preserve">Retention:</w:t>
      </w:r>
      <w:r>
        <w:t xml:space="preserve"> </w:t>
      </w:r>
      <w:r>
        <w:t xml:space="preserve">Increase repeat visits by 35% through personalized health programs.</w:t>
      </w:r>
    </w:p>
    <w:p>
      <w:pPr>
        <w:numPr>
          <w:ilvl w:val="0"/>
          <w:numId w:val="1002"/>
        </w:numPr>
        <w:pStyle w:val="Compact"/>
      </w:pPr>
      <w:r>
        <w:rPr>
          <w:bCs/>
          <w:b/>
        </w:rPr>
        <w:t xml:space="preserve">Digital Adoption:</w:t>
      </w:r>
      <w:r>
        <w:t xml:space="preserve"> </w:t>
      </w:r>
      <w:r>
        <w:t xml:space="preserve">Achieve 40% of consultations via our Frankfurt-specific telehealth platform.</w:t>
      </w:r>
    </w:p>
    <w:bookmarkEnd w:id="23"/>
    <w:bookmarkStart w:id="27" w:name="core-marketing-strategies"/>
    <w:p>
      <w:pPr>
        <w:pStyle w:val="Heading2"/>
      </w:pPr>
      <w:r>
        <w:t xml:space="preserve">Core Marketing Strategies</w:t>
      </w:r>
    </w:p>
    <w:bookmarkStart w:id="24" w:name="digital-first-patient-engagement"/>
    <w:p>
      <w:pPr>
        <w:pStyle w:val="Heading3"/>
      </w:pPr>
      <w:r>
        <w:t xml:space="preserve">1. Digital-First Patient Engagement</w:t>
      </w:r>
    </w:p>
    <w:p>
      <w:pPr>
        <w:pStyle w:val="FirstParagraph"/>
      </w:pPr>
      <w:r>
        <w:t xml:space="preserve">We implement a Germany Frankfurt-specific mobile platform ("Frankfurt Apotheke Connect") with features:</w:t>
      </w:r>
      <w:r>
        <w:t xml:space="preserve"> </w:t>
      </w:r>
      <w:r>
        <w:t xml:space="preserve">- Appointment booking integrated with Frankfurt's public health system (GKV-SV)</w:t>
      </w:r>
      <w:r>
        <w:t xml:space="preserve"> </w:t>
      </w:r>
      <w:r>
        <w:t xml:space="preserve">- Medication reminders synced to local events (e.g., annual Frankfurt Marathon health checks)</w:t>
      </w:r>
      <w:r>
        <w:t xml:space="preserve"> </w:t>
      </w:r>
      <w:r>
        <w:t xml:space="preserve">- Teleconsultations via Zoom for non-urgent cases, reducing in-person wait times</w:t>
      </w:r>
      <w:r>
        <w:t xml:space="preserve"> </w:t>
      </w:r>
      <w:r>
        <w:rPr>
          <w:iCs/>
          <w:i/>
        </w:rPr>
        <w:t xml:space="preserve">Why it works:</w:t>
      </w:r>
      <w:r>
        <w:t xml:space="preserve"> </w:t>
      </w:r>
      <w:r>
        <w:t xml:space="preserve">78% of Frankfurt residents use mobile health apps (Statista 2023), addressing a key unmet need. This positions our Pharmacist as tech-savvy yet personally attentive.</w:t>
      </w:r>
    </w:p>
    <w:bookmarkEnd w:id="24"/>
    <w:bookmarkStart w:id="25" w:name="community-health-integration"/>
    <w:p>
      <w:pPr>
        <w:pStyle w:val="Heading3"/>
      </w:pPr>
      <w:r>
        <w:t xml:space="preserve">2. Community Health Integration</w:t>
      </w:r>
    </w:p>
    <w:p>
      <w:pPr>
        <w:pStyle w:val="FirstParagraph"/>
      </w:pPr>
      <w:r>
        <w:t xml:space="preserve">Forge strategic partnerships within Germany Frankfurt's healthcare ecosystem:</w:t>
      </w:r>
      <w:r>
        <w:t xml:space="preserve"> </w:t>
      </w:r>
      <w:r>
        <w:t xml:space="preserve">- Collaborate with Goethe University Hospital for joint chronic disease management programs</w:t>
      </w:r>
      <w:r>
        <w:t xml:space="preserve"> </w:t>
      </w:r>
      <w:r>
        <w:t xml:space="preserve">- Sponsor health screenings at Frankfurt City Run events and Römerberg market days</w:t>
      </w:r>
      <w:r>
        <w:t xml:space="preserve"> </w:t>
      </w:r>
      <w:r>
        <w:t xml:space="preserve">- Supply medication for the "Frankfurt Senior Care Initiative" (city-funded wellness program)</w:t>
      </w:r>
      <w:r>
        <w:t xml:space="preserve"> </w:t>
      </w:r>
      <w:r>
        <w:rPr>
          <w:iCs/>
          <w:i/>
        </w:rPr>
        <w:t xml:space="preserve">Why it works:</w:t>
      </w:r>
      <w:r>
        <w:t xml:space="preserve"> </w:t>
      </w:r>
      <w:r>
        <w:t xml:space="preserve">Community trust is paramount in German healthcare. These partnerships generate authentic referrals while establishing our Pharmacist as a neighborhood health pillar.</w:t>
      </w:r>
    </w:p>
    <w:bookmarkEnd w:id="25"/>
    <w:bookmarkStart w:id="26" w:name="hyper-local-branding"/>
    <w:p>
      <w:pPr>
        <w:pStyle w:val="Heading3"/>
      </w:pPr>
      <w:r>
        <w:t xml:space="preserve">3. Hyper-Local Branding</w:t>
      </w:r>
    </w:p>
    <w:p>
      <w:pPr>
        <w:pStyle w:val="FirstParagraph"/>
      </w:pPr>
      <w:r>
        <w:t xml:space="preserve">All marketing emphasizes Frankfurt identity:</w:t>
      </w:r>
      <w:r>
        <w:t xml:space="preserve"> </w:t>
      </w:r>
      <w:r>
        <w:t xml:space="preserve">- Social media campaigns featuring "Frankfurt Health Stories" (e.g., "How Frau Meyer manages diabetes during Frankfurter Kulturwoche")</w:t>
      </w:r>
      <w:r>
        <w:t xml:space="preserve"> </w:t>
      </w:r>
      <w:r>
        <w:t xml:space="preserve">- Physical pharmacy signage in German and English with local landmarks (e.g., "Apotheke am Mainufer – Just 5 min from Römer")</w:t>
      </w:r>
      <w:r>
        <w:t xml:space="preserve"> </w:t>
      </w:r>
      <w:r>
        <w:t xml:space="preserve">- Localized content: Quarterly health guides for Frankfurt residents (e.g., "Winter Health Tips for Frankfurt's Climate")</w:t>
      </w:r>
      <w:r>
        <w:t xml:space="preserve"> </w:t>
      </w:r>
      <w:r>
        <w:rPr>
          <w:iCs/>
          <w:i/>
        </w:rPr>
        <w:t xml:space="preserve">Why it works:</w:t>
      </w:r>
      <w:r>
        <w:t xml:space="preserve"> </w:t>
      </w:r>
      <w:r>
        <w:t xml:space="preserve">Localization builds immediate connection in Germany's culturally nuanced market, differentiating us from national chains.</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Digital Platform Development</w:t>
      </w:r>
    </w:p>
    <w:p>
      <w:pPr>
        <w:pStyle w:val="BodyText"/>
      </w:pPr>
      <w:r>
        <w:t xml:space="preserve">32,000</w:t>
      </w:r>
    </w:p>
    <w:p>
      <w:pPr>
        <w:pStyle w:val="BodyText"/>
      </w:pPr>
      <w:r>
        <w:t xml:space="preserve">Critical for Frankfurt-specific engagement; meets German data privacy (DSGVO) standards</w:t>
      </w:r>
    </w:p>
    <w:p>
      <w:pPr>
        <w:pStyle w:val="BodyText"/>
      </w:pPr>
      <w:r>
        <w:t xml:space="preserve">Community Partnerships &amp; Events</w:t>
      </w:r>
    </w:p>
    <w:p>
      <w:pPr>
        <w:pStyle w:val="BodyText"/>
      </w:pPr>
      <w:r>
        <w:t xml:space="preserve">28,500</w:t>
      </w:r>
    </w:p>
    <w:p>
      <w:pPr>
        <w:pStyle w:val="BodyText"/>
      </w:pPr>
      <w:r>
        <w:t xml:space="preserve">Funding for 12 local health screenings at Frankfurt venues</w:t>
      </w:r>
      <w:r>
        <w:t xml:space="preserve"> </w:t>
      </w:r>
      <w:r>
        <w:t xml:space="preserve">- Includes hospital collaboration costs and promotional materials in German/English</w:t>
      </w:r>
    </w:p>
    <w:p>
      <w:pPr>
        <w:pStyle w:val="BodyText"/>
      </w:pPr>
      <w:r>
        <w:t xml:space="preserve">Digital Advertising (Meta, Google)</w:t>
      </w:r>
    </w:p>
    <w:p>
      <w:pPr>
        <w:pStyle w:val="BodyText"/>
      </w:pPr>
      <w:r>
        <w:t xml:space="preserve">24,000</w:t>
      </w:r>
    </w:p>
    <w:p>
      <w:pPr>
        <w:pStyle w:val="BodyText"/>
      </w:pPr>
      <w:r>
        <w:t xml:space="preserve">Targeted to Frankfurt ZIP codes with health-related keywords</w:t>
      </w:r>
      <w:r>
        <w:t xml:space="preserve"> </w:t>
      </w:r>
      <w:r>
        <w:t xml:space="preserve">- Geofencing around hospitals and senior centers</w:t>
      </w:r>
    </w:p>
    <w:p>
      <w:pPr>
        <w:pStyle w:val="BodyText"/>
      </w:pPr>
      <w:r>
        <w:t xml:space="preserve">Content Creation &amp; Local PR</w:t>
      </w:r>
    </w:p>
    <w:p>
      <w:pPr>
        <w:pStyle w:val="BodyText"/>
      </w:pPr>
      <w:r>
        <w:t xml:space="preserve">15,500</w:t>
      </w:r>
    </w:p>
    <w:p>
      <w:pPr>
        <w:pStyle w:val="BodyText"/>
      </w:pPr>
      <w:r>
        <w:t xml:space="preserve">Production of German-language video testimonials featuring Frankfurt patients</w:t>
      </w:r>
      <w:r>
        <w:t xml:space="preserve"> </w:t>
      </w:r>
      <w:r>
        <w:t xml:space="preserve">- Press kits for local media (Frankfurter Allgemeine Zeitung, WAZ)</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Platform launch + hospital partnership signing. Target: 500 app downloads in Frankfurt.</w:t>
      </w:r>
    </w:p>
    <w:p>
      <w:pPr>
        <w:pStyle w:val="BodyText"/>
      </w:pPr>
      <w:r>
        <w:rPr>
          <w:bCs/>
          <w:b/>
        </w:rPr>
        <w:t xml:space="preserve">Months 4-6:</w:t>
      </w:r>
      <w:r>
        <w:t xml:space="preserve"> </w:t>
      </w:r>
      <w:r>
        <w:t xml:space="preserve">First community health screening at Frankfurter Römerberg market. Target: 20% patient acquisition from events.</w:t>
      </w:r>
    </w:p>
    <w:p>
      <w:pPr>
        <w:pStyle w:val="BodyText"/>
      </w:pPr>
      <w:r>
        <w:rPr>
          <w:bCs/>
          <w:b/>
        </w:rPr>
        <w:t xml:space="preserve">Months 7-12:</w:t>
      </w:r>
      <w:r>
        <w:t xml:space="preserve"> </w:t>
      </w:r>
      <w:r>
        <w:t xml:space="preserve">Scale telehealth services; launch "Frankfurt Senior Wellness" monthly newsletter. Target: 35% retention increase.</w:t>
      </w:r>
    </w:p>
    <w:bookmarkEnd w:id="29"/>
    <w:bookmarkStart w:id="30" w:name="success-measurement"/>
    <w:p>
      <w:pPr>
        <w:pStyle w:val="Heading2"/>
      </w:pPr>
      <w:r>
        <w:t xml:space="preserve">Success Measurement</w:t>
      </w:r>
    </w:p>
    <w:p>
      <w:pPr>
        <w:pStyle w:val="FirstParagraph"/>
      </w:pPr>
      <w:r>
        <w:t xml:space="preserve">We track KPIs aligned with Frankfurt's healthcare metrics:</w:t>
      </w:r>
      <w:r>
        <w:t xml:space="preserve"> </w:t>
      </w:r>
      <w:r>
        <w:t xml:space="preserve">-</w:t>
      </w:r>
      <w:r>
        <w:t xml:space="preserve"> </w:t>
      </w:r>
      <w:r>
        <w:rPr>
          <w:iCs/>
          <w:i/>
        </w:rPr>
        <w:t xml:space="preserve">Patient Acquisition Cost (PAC):</w:t>
      </w:r>
      <w:r>
        <w:t xml:space="preserve"> </w:t>
      </w:r>
      <w:r>
        <w:t xml:space="preserve">Target €45 (below industry average of €68 in Germany)</w:t>
      </w:r>
      <w:r>
        <w:t xml:space="preserve"> </w:t>
      </w:r>
      <w:r>
        <w:t xml:space="preserve">-</w:t>
      </w:r>
      <w:r>
        <w:t xml:space="preserve"> </w:t>
      </w:r>
      <w:r>
        <w:rPr>
          <w:iCs/>
          <w:i/>
        </w:rPr>
        <w:t xml:space="preserve">NPS Score:</w:t>
      </w:r>
      <w:r>
        <w:t xml:space="preserve"> </w:t>
      </w:r>
      <w:r>
        <w:t xml:space="preserve">Achieve 70+ through post-consultation surveys</w:t>
      </w:r>
      <w:r>
        <w:t xml:space="preserve"> </w:t>
      </w:r>
      <w:r>
        <w:t xml:space="preserve">-</w:t>
      </w:r>
      <w:r>
        <w:t xml:space="preserve"> </w:t>
      </w:r>
      <w:r>
        <w:rPr>
          <w:iCs/>
          <w:i/>
        </w:rPr>
        <w:t xml:space="preserve">Local Engagement Rate:</w:t>
      </w:r>
      <w:r>
        <w:t xml:space="preserve"> </w:t>
      </w:r>
      <w:r>
        <w:t xml:space="preserve">Measure via participation in Frankfurt-specific events</w:t>
      </w:r>
      <w:r>
        <w:t xml:space="preserve"> </w:t>
      </w:r>
      <w:r>
        <w:t xml:space="preserve">-</w:t>
      </w:r>
      <w:r>
        <w:t xml:space="preserve"> </w:t>
      </w:r>
      <w:r>
        <w:rPr>
          <w:iCs/>
          <w:i/>
        </w:rPr>
        <w:t xml:space="preserve">Social Media Sentiment:</w:t>
      </w:r>
      <w:r>
        <w:t xml:space="preserve"> </w:t>
      </w:r>
      <w:r>
        <w:t xml:space="preserve">Monitor "Frankfurt Apotheke" mentions on Instagram/Twitter</w:t>
      </w:r>
    </w:p>
    <w:bookmarkEnd w:id="30"/>
    <w:bookmarkStart w:id="31" w:name="conclusion"/>
    <w:p>
      <w:pPr>
        <w:pStyle w:val="Heading2"/>
      </w:pPr>
      <w:r>
        <w:t xml:space="preserve">Conclusion</w:t>
      </w:r>
    </w:p>
    <w:p>
      <w:pPr>
        <w:pStyle w:val="FirstParagraph"/>
      </w:pPr>
      <w:r>
        <w:t xml:space="preserve">This Marketing Plan transforms the role of Pharmacist in Germany Frankfurt from transactional medication dispensing to proactive community health leadership. By embedding our services within Frankfurt's social fabric – through localized digital tools, strategic healthcare partnerships, and culturally attuned communication – we position the Pharmacy as an indispensable part of daily life for Frankfurt residents. The success metrics directly tie to the city's healthcare priorities: accessibility, trust, and prevention-focused care. This plan doesn't merely market a pharmacy; it builds a health ecosystem where our Pharmacist becomes synonymous with trusted pharmaceutical care in Germany Frankfurt.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Germany Frankfurt</dc:title>
  <dc:creator/>
  <dc:language>en</dc:language>
  <cp:keywords/>
  <dcterms:created xsi:type="dcterms:W3CDTF">2026-07-23T13:20:36Z</dcterms:created>
  <dcterms:modified xsi:type="dcterms:W3CDTF">2026-07-23T13:20:36Z</dcterms:modified>
</cp:coreProperties>
</file>

<file path=docProps/custom.xml><?xml version="1.0" encoding="utf-8"?>
<Properties xmlns="http://schemas.openxmlformats.org/officeDocument/2006/custom-properties" xmlns:vt="http://schemas.openxmlformats.org/officeDocument/2006/docPropsVTypes"/>
</file>