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3" w:name="X404d954f9ae4e1ba34af3d5ffe1e1e001780dd8"/>
    <w:p>
      <w:pPr>
        <w:pStyle w:val="Heading1"/>
      </w:pPr>
      <w:r>
        <w:t xml:space="preserve">Comprehensive Marketing Plan for Pharmacist Services in New Zealand Auckland</w:t>
      </w:r>
    </w:p>
    <w:bookmarkStart w:id="20" w:name="executive-summary"/>
    <w:p>
      <w:pPr>
        <w:pStyle w:val="Heading2"/>
      </w:pPr>
      <w:r>
        <w:t xml:space="preserve">Executive Summary</w:t>
      </w:r>
    </w:p>
    <w:p>
      <w:pPr>
        <w:pStyle w:val="FirstParagraph"/>
      </w:pPr>
      <w:r>
        <w:t xml:space="preserve">This Marketing Plan outlines a strategic approach to position a pharmacist in the competitive healthcare landscape of New Zealand Auckland. With Auckland's population exceeding 1.6 million and rising demand for accessible, culturally competent healthcare, this plan targets both community engagement and professional differentiation. The core objective is to establish the pharmacist as an indispensable health partner through tailored services that meet the unique needs of Auckland's diverse communities while complying with New Zealand's Pharmaceutical Management Agency (PHARMAC) regulations and Ministry of Health guidelines.</w:t>
      </w:r>
    </w:p>
    <w:bookmarkEnd w:id="20"/>
    <w:bookmarkStart w:id="21" w:name="Xd59e5636adb4908f608cc89cad8bc75b29514ed"/>
    <w:p>
      <w:pPr>
        <w:pStyle w:val="Heading2"/>
      </w:pPr>
      <w:r>
        <w:t xml:space="preserve">Situation Analysis: Auckland Healthcare Landscape</w:t>
      </w:r>
    </w:p>
    <w:p>
      <w:pPr>
        <w:pStyle w:val="FirstParagraph"/>
      </w:pPr>
      <w:r>
        <w:t xml:space="preserve">New Zealand Auckland presents a complex market with significant health disparities across ethnicities (Māori, Pacific Islander, Asian communities) and socioeconomic groups. According to the 2023 New Zealand Health Report, Auckland has the highest rate of chronic conditions (diabetes, cardiovascular disease) in the country. Traditional pharmacy services are often transactional; however, pharmacists are now authorized under New Zealand's expanded scope of practice to deliver clinical services including medication reviews, smoking cessation programs, and minor ailment consultations. This plan leverages these opportunities within Auckland's specific context.</w:t>
      </w:r>
    </w:p>
    <w:bookmarkEnd w:id="21"/>
    <w:bookmarkStart w:id="22" w:name="target-audience"/>
    <w:p>
      <w:pPr>
        <w:pStyle w:val="Heading2"/>
      </w:pPr>
      <w:r>
        <w:t xml:space="preserve">Target Audience</w:t>
      </w:r>
    </w:p>
    <w:p>
      <w:pPr>
        <w:pStyle w:val="FirstParagraph"/>
      </w:pPr>
      <w:r>
        <w:rPr>
          <w:bCs/>
          <w:b/>
        </w:rPr>
        <w:t xml:space="preserve">Primary:</w:t>
      </w:r>
    </w:p>
    <w:p>
      <w:pPr>
        <w:numPr>
          <w:ilvl w:val="0"/>
          <w:numId w:val="1001"/>
        </w:numPr>
        <w:pStyle w:val="Compact"/>
      </w:pPr>
      <w:r>
        <w:rPr>
          <w:iCs/>
          <w:i/>
        </w:rPr>
        <w:t xml:space="preserve">Mature Auckland residents (55+ years)</w:t>
      </w:r>
      <w:r>
        <w:t xml:space="preserve">: High medication burden requiring regular reviews. Targeted through community health fairs in areas like Ōtāhuhu and Mount Roskill.</w:t>
      </w:r>
    </w:p>
    <w:p>
      <w:pPr>
        <w:numPr>
          <w:ilvl w:val="0"/>
          <w:numId w:val="1001"/>
        </w:numPr>
        <w:pStyle w:val="Compact"/>
      </w:pPr>
      <w:r>
        <w:rPr>
          <w:iCs/>
          <w:i/>
        </w:rPr>
        <w:t xml:space="preserve">Families in Eastern suburbs (Pakuranga, Flat Bush)</w:t>
      </w:r>
      <w:r>
        <w:t xml:space="preserve">: Seeking preventative care for children and chronic conditions. Focus on school partnerships.</w:t>
      </w:r>
    </w:p>
    <w:p>
      <w:pPr>
        <w:pStyle w:val="FirstParagraph"/>
      </w:pPr>
      <w:r>
        <w:rPr>
          <w:bCs/>
          <w:b/>
        </w:rPr>
        <w:t xml:space="preserve">Secondary:</w:t>
      </w:r>
    </w:p>
    <w:p>
      <w:pPr>
        <w:numPr>
          <w:ilvl w:val="0"/>
          <w:numId w:val="1002"/>
        </w:numPr>
        <w:pStyle w:val="Compact"/>
      </w:pPr>
      <w:r>
        <w:rPr>
          <w:iCs/>
          <w:i/>
        </w:rPr>
        <w:t xml:space="preserve">Healthcare providers (GPs, nurses)</w:t>
      </w:r>
      <w:r>
        <w:t xml:space="preserve">: For referral partnerships in Auckland's Primary Health Organisations (PHOs).</w:t>
      </w:r>
    </w:p>
    <w:p>
      <w:pPr>
        <w:numPr>
          <w:ilvl w:val="0"/>
          <w:numId w:val="1002"/>
        </w:numPr>
        <w:pStyle w:val="Compact"/>
      </w:pPr>
      <w:r>
        <w:rPr>
          <w:iCs/>
          <w:i/>
        </w:rPr>
        <w:t xml:space="preserve">Tourist and business visitors</w:t>
      </w:r>
      <w:r>
        <w:t xml:space="preserve">: Targeting international arrivals at Auckland Airport with emergency medication services.</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Positioning:</w:t>
      </w:r>
      <w:r>
        <w:t xml:space="preserve"> </w:t>
      </w:r>
      <w:r>
        <w:t xml:space="preserve">Become the most trusted community pharmacist in Auckland by 2026 through culturally responsive care.</w:t>
      </w:r>
    </w:p>
    <w:p>
      <w:pPr>
        <w:numPr>
          <w:ilvl w:val="0"/>
          <w:numId w:val="1003"/>
        </w:numPr>
        <w:pStyle w:val="Compact"/>
      </w:pPr>
      <w:r>
        <w:rPr>
          <w:bCs/>
          <w:b/>
        </w:rPr>
        <w:t xml:space="preserve">Service Adoption:</w:t>
      </w:r>
      <w:r>
        <w:t xml:space="preserve"> </w:t>
      </w:r>
      <w:r>
        <w:t xml:space="preserve">Increase medication review uptake by 40% within Auckland communities in Year 1.</w:t>
      </w:r>
    </w:p>
    <w:p>
      <w:pPr>
        <w:numPr>
          <w:ilvl w:val="0"/>
          <w:numId w:val="1003"/>
        </w:numPr>
        <w:pStyle w:val="Compact"/>
      </w:pPr>
      <w:r>
        <w:rPr>
          <w:bCs/>
          <w:b/>
        </w:rPr>
        <w:t xml:space="preserve">Community Integration:</w:t>
      </w:r>
      <w:r>
        <w:t xml:space="preserve"> </w:t>
      </w:r>
      <w:r>
        <w:t xml:space="preserve">Establish partnerships with 5+ Auckland Māori health providers (e.g., Te Whatu Ora) and Pacific Island health organisations.</w:t>
      </w:r>
    </w:p>
    <w:p>
      <w:pPr>
        <w:numPr>
          <w:ilvl w:val="0"/>
          <w:numId w:val="1003"/>
        </w:numPr>
        <w:pStyle w:val="Compact"/>
      </w:pPr>
      <w:r>
        <w:rPr>
          <w:bCs/>
          <w:b/>
        </w:rPr>
        <w:t xml:space="preserve">Digital Engagement:</w:t>
      </w:r>
      <w:r>
        <w:t xml:space="preserve"> </w:t>
      </w:r>
      <w:r>
        <w:t xml:space="preserve">Achieve 70% of target audience awareness via NZ-specific platforms (Wise, Facebook groups) within 12 months.</w:t>
      </w:r>
    </w:p>
    <w:bookmarkEnd w:id="23"/>
    <w:bookmarkStart w:id="28" w:name="marketing-strategies-tactics"/>
    <w:p>
      <w:pPr>
        <w:pStyle w:val="Heading2"/>
      </w:pPr>
      <w:r>
        <w:t xml:space="preserve">Marketing Strategies &amp; Tactics</w:t>
      </w:r>
    </w:p>
    <w:bookmarkStart w:id="24" w:name="culturally-tailored-services"/>
    <w:p>
      <w:pPr>
        <w:pStyle w:val="Heading3"/>
      </w:pPr>
      <w:r>
        <w:t xml:space="preserve">1. Culturally Tailored Services</w:t>
      </w:r>
    </w:p>
    <w:p>
      <w:pPr>
        <w:pStyle w:val="FirstParagraph"/>
      </w:pPr>
      <w:r>
        <w:t xml:space="preserve">Develop services addressing Auckland's cultural diversity:</w:t>
      </w:r>
      <w:r>
        <w:t xml:space="preserve"> </w:t>
      </w:r>
      <w:r>
        <w:t xml:space="preserve">• Māori Health Pathways: Partner with local iwi (e.g., Ngāti Whātua) to co-design kaitiakitanga (guardianship) health checks incorporating traditional knowledge.</w:t>
      </w:r>
      <w:r>
        <w:t xml:space="preserve"> </w:t>
      </w:r>
      <w:r>
        <w:t xml:space="preserve">• Pacific Islander Wellness Clinics: Monthly free blood pressure/diabetes screening in community hubs like Manukau City Centre, staffed by bilingual pharmacists.</w:t>
      </w:r>
      <w:r>
        <w:t xml:space="preserve"> </w:t>
      </w:r>
      <w:r>
        <w:t xml:space="preserve">• Asian Community Health Talks: Collaborate with Auckland's Chinese and Indian associations for medication safety workshops at local temples/mosques.</w:t>
      </w:r>
    </w:p>
    <w:bookmarkEnd w:id="24"/>
    <w:bookmarkStart w:id="25" w:name="digital-localized-outreach"/>
    <w:p>
      <w:pPr>
        <w:pStyle w:val="Heading3"/>
      </w:pPr>
      <w:r>
        <w:t xml:space="preserve">2. Digital &amp; Localized Outreach</w:t>
      </w:r>
    </w:p>
    <w:p>
      <w:pPr>
        <w:pStyle w:val="FirstParagraph"/>
      </w:pPr>
      <w:r>
        <w:t xml:space="preserve">• **Auckland-Specific Social Media Campaign**: Run Facebook/Instagram ads targeting Auckland suburbs using localized terms ("Aucklanders," "Waitakere," "Glen Eden"). Content features real patient stories from Auckland neighborhoods.</w:t>
      </w:r>
      <w:r>
        <w:t xml:space="preserve"> </w:t>
      </w:r>
      <w:r>
        <w:t xml:space="preserve">• **PHARMAC-Compliant Digital Hub**: Launch a free NZ website with Auckland-specific resources: "Auckland Medication Safety Guide" (updated quarterly), and integration with the Healthpoint app.</w:t>
      </w:r>
      <w:r>
        <w:t xml:space="preserve"> </w:t>
      </w:r>
      <w:r>
        <w:t xml:space="preserve">• **Airport Partnerships**: Co-brand with Air New Zealand for "Travel Wellness Kits" at Auckland Airport, including emergency medication advice from the pharmacist.</w:t>
      </w:r>
    </w:p>
    <w:bookmarkEnd w:id="25"/>
    <w:bookmarkStart w:id="26" w:name="professional-alliances"/>
    <w:p>
      <w:pPr>
        <w:pStyle w:val="Heading3"/>
      </w:pPr>
      <w:r>
        <w:t xml:space="preserve">3. Professional Alliances</w:t>
      </w:r>
    </w:p>
    <w:p>
      <w:pPr>
        <w:pStyle w:val="FirstParagraph"/>
      </w:pPr>
      <w:r>
        <w:t xml:space="preserve">• Join Auckland's Primary Health Organisation (PHO) networks to offer seamless referral pathways for GPs.</w:t>
      </w:r>
      <w:r>
        <w:t xml:space="preserve"> </w:t>
      </w:r>
      <w:r>
        <w:t xml:space="preserve">• Train 50+ community health workers across Auckland in basic medication literacy, enabling them to refer patients directly to the pharmacist.</w:t>
      </w:r>
      <w:r>
        <w:t xml:space="preserve"> </w:t>
      </w:r>
      <w:r>
        <w:t xml:space="preserve">• Sponsor local events: NZ Pharmacist Association conferences and community marae gatherings in East Auckland.</w:t>
      </w:r>
    </w:p>
    <w:bookmarkEnd w:id="26"/>
    <w:bookmarkStart w:id="27" w:name="community-visibility"/>
    <w:p>
      <w:pPr>
        <w:pStyle w:val="Heading3"/>
      </w:pPr>
      <w:r>
        <w:t xml:space="preserve">4. Community Visibility</w:t>
      </w:r>
    </w:p>
    <w:p>
      <w:pPr>
        <w:pStyle w:val="FirstParagraph"/>
      </w:pPr>
      <w:r>
        <w:t xml:space="preserve">• Host "Pharmacist at the Market" pop-ups at farmers' markets (e.g., Greenlane, Parnell).</w:t>
      </w:r>
      <w:r>
        <w:t xml:space="preserve"> </w:t>
      </w:r>
      <w:r>
        <w:t xml:space="preserve">• Distribute free NZ-specific health pamphlets in public transport hubs (Auckland Transport buses, stations) with multilingual content.</w:t>
      </w:r>
      <w:r>
        <w:t xml:space="preserve"> </w:t>
      </w:r>
      <w:r>
        <w:t xml:space="preserve">• Sponsor Auckland community sports events (e.g., rugby matches in Otara) to build grassroots recognition.</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Cultural Service Development</w:t>
      </w:r>
    </w:p>
    <w:p>
      <w:pPr>
        <w:pStyle w:val="BodyText"/>
      </w:pPr>
      <w:r>
        <w:t xml:space="preserve">35%</w:t>
      </w:r>
    </w:p>
    <w:p>
      <w:pPr>
        <w:pStyle w:val="BodyText"/>
      </w:pPr>
      <w:r>
        <w:t xml:space="preserve">Māori/Pacific workshops, translator services, partnership fees with iwi health providers.</w:t>
      </w:r>
    </w:p>
    <w:p>
      <w:pPr>
        <w:pStyle w:val="BodyText"/>
      </w:pPr>
      <w:r>
        <w:t xml:space="preserve">Digital Marketing (NZ-Focused)</w:t>
      </w:r>
    </w:p>
    <w:p>
      <w:pPr>
        <w:pStyle w:val="BodyText"/>
      </w:pPr>
      <w:r>
        <w:t xml:space="preserve">25%</w:t>
      </w:r>
    </w:p>
    <w:p>
      <w:pPr>
        <w:pStyle w:val="BodyText"/>
      </w:pPr>
      <w:r>
        <w:t xml:space="preserve">Auckland-targeted social ads, website SEO for "pharmacist Auckland," Healthpoint integration.</w:t>
      </w:r>
    </w:p>
    <w:p>
      <w:pPr>
        <w:pStyle w:val="BodyText"/>
      </w:pPr>
      <w:r>
        <w:t xml:space="preserve">Community Events</w:t>
      </w:r>
    </w:p>
    <w:p>
      <w:pPr>
        <w:pStyle w:val="BodyText"/>
      </w:pPr>
      <w:r>
        <w:t xml:space="preserve">20%</w:t>
      </w:r>
    </w:p>
    <w:p>
      <w:pPr>
        <w:pStyle w:val="BodyText"/>
      </w:pPr>
      <w:r>
        <w:t xml:space="preserve">Sponsorships, pop-up market costs, multilingual materials printing.</w:t>
      </w:r>
    </w:p>
    <w:p>
      <w:pPr>
        <w:pStyle w:val="BodyText"/>
      </w:pPr>
      <w:r>
        <w:t xml:space="preserve">Professional Networking</w:t>
      </w:r>
    </w:p>
    <w:p>
      <w:pPr>
        <w:pStyle w:val="BodyText"/>
      </w:pPr>
      <w:r>
        <w:t xml:space="preserve">15%</w:t>
      </w:r>
    </w:p>
    <w:p>
      <w:pPr>
        <w:pStyle w:val="BodyText"/>
      </w:pPr>
      <w:r>
        <w:t xml:space="preserve">Parking fees for PHO meetings, conference participation (e.g., NZ Pharmaceutical Society events in Auckland).</w:t>
      </w:r>
    </w:p>
    <w:p>
      <w:pPr>
        <w:pStyle w:val="BodyText"/>
      </w:pPr>
      <w:r>
        <w:t xml:space="preserve">Evaluation &amp; Analytics</w:t>
      </w:r>
    </w:p>
    <w:p>
      <w:pPr>
        <w:pStyle w:val="BodyText"/>
      </w:pPr>
      <w:r>
        <w:t xml:space="preserve">5%</w:t>
      </w:r>
    </w:p>
    <w:p>
      <w:pPr>
        <w:pStyle w:val="BodyText"/>
      </w:pPr>
      <w:r>
        <w:t xml:space="preserve">Campaign tracking via Google Analytics and Auckland-specific patient surveys.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Partner with Ngāti Whātua for Māori health pathway design; launch digital hub; secure PHO referral agreements.</w:t>
      </w:r>
    </w:p>
    <w:p>
      <w:pPr>
        <w:pStyle w:val="BodyText"/>
      </w:pPr>
      <w:r>
        <w:rPr>
          <w:bCs/>
          <w:b/>
        </w:rPr>
        <w:t xml:space="preserve">Months 4–6:</w:t>
      </w:r>
      <w:r>
        <w:t xml:space="preserve"> </w:t>
      </w:r>
      <w:r>
        <w:t xml:space="preserve">Roll out Pacific Islander wellness clinics in Manukau; begin airport partnership with Air New Zealand.</w:t>
      </w:r>
    </w:p>
    <w:p>
      <w:pPr>
        <w:pStyle w:val="BodyText"/>
      </w:pPr>
      <w:r>
        <w:rPr>
          <w:bCs/>
          <w:b/>
        </w:rPr>
        <w:t xml:space="preserve">Months 7–9:</w:t>
      </w:r>
      <w:r>
        <w:t xml:space="preserve"> </w:t>
      </w:r>
      <w:r>
        <w:t xml:space="preserve">Deploy Auckland-specific social media campaign; host first community market pop-up at Parnell.</w:t>
      </w:r>
    </w:p>
    <w:p>
      <w:pPr>
        <w:pStyle w:val="BodyText"/>
      </w:pPr>
      <w:r>
        <w:rPr>
          <w:bCs/>
          <w:b/>
        </w:rPr>
        <w:t xml:space="preserve">Months 10–12:</w:t>
      </w:r>
      <w:r>
        <w:t xml:space="preserve"> </w:t>
      </w:r>
      <w:r>
        <w:t xml:space="preserve">Evaluate Year 1 metrics; expand to new suburbs (e.g., Henderson) based on demand data.</w:t>
      </w:r>
    </w:p>
    <w:bookmarkEnd w:id="30"/>
    <w:bookmarkStart w:id="31" w:name="evaluation-metrics"/>
    <w:p>
      <w:pPr>
        <w:pStyle w:val="Heading2"/>
      </w:pPr>
      <w:r>
        <w:t xml:space="preserve">Evaluation Metrics</w:t>
      </w:r>
    </w:p>
    <w:p>
      <w:pPr>
        <w:numPr>
          <w:ilvl w:val="0"/>
          <w:numId w:val="1004"/>
        </w:numPr>
        <w:pStyle w:val="Compact"/>
      </w:pPr>
      <w:r>
        <w:rPr>
          <w:iCs/>
          <w:i/>
        </w:rPr>
        <w:t xml:space="preserve">Cultural Impact:</w:t>
      </w:r>
      <w:r>
        <w:t xml:space="preserve"> </w:t>
      </w:r>
      <w:r>
        <w:t xml:space="preserve">Track participation rates in Māori/Pacific clinics vs. Auckland average (target: 30% above citywide baseline).</w:t>
      </w:r>
    </w:p>
    <w:p>
      <w:pPr>
        <w:numPr>
          <w:ilvl w:val="0"/>
          <w:numId w:val="1004"/>
        </w:numPr>
        <w:pStyle w:val="Compact"/>
      </w:pPr>
      <w:r>
        <w:rPr>
          <w:iCs/>
          <w:i/>
        </w:rPr>
        <w:t xml:space="preserve">Service Utilization:</w:t>
      </w:r>
      <w:r>
        <w:t xml:space="preserve"> </w:t>
      </w:r>
      <w:r>
        <w:t xml:space="preserve">Monitor medication review bookings via pharmacy management software; aim for 40% increase in Year 1.</w:t>
      </w:r>
    </w:p>
    <w:p>
      <w:pPr>
        <w:numPr>
          <w:ilvl w:val="0"/>
          <w:numId w:val="1004"/>
        </w:numPr>
        <w:pStyle w:val="Compact"/>
      </w:pPr>
      <w:r>
        <w:rPr>
          <w:iCs/>
          <w:i/>
        </w:rPr>
        <w:t xml:space="preserve">Community Trust:</w:t>
      </w:r>
      <w:r>
        <w:t xml:space="preserve"> </w:t>
      </w:r>
      <w:r>
        <w:t xml:space="preserve">Conduct quarterly Auckland community surveys measuring "trust as healthcare partner" (target: +25% score).</w:t>
      </w:r>
    </w:p>
    <w:p>
      <w:pPr>
        <w:numPr>
          <w:ilvl w:val="0"/>
          <w:numId w:val="1004"/>
        </w:numPr>
        <w:pStyle w:val="Compact"/>
      </w:pPr>
      <w:r>
        <w:rPr>
          <w:iCs/>
          <w:i/>
        </w:rPr>
        <w:t xml:space="preserve">Digital Reach:</w:t>
      </w:r>
      <w:r>
        <w:t xml:space="preserve"> </w:t>
      </w:r>
      <w:r>
        <w:t xml:space="preserve">Analyze website traffic from Auckland IP addresses (target: 60% of all sessions by Month 6).</w:t>
      </w:r>
    </w:p>
    <w:bookmarkEnd w:id="31"/>
    <w:bookmarkStart w:id="32" w:name="conclusion"/>
    <w:p>
      <w:pPr>
        <w:pStyle w:val="Heading2"/>
      </w:pPr>
      <w:r>
        <w:t xml:space="preserve">Conclusion</w:t>
      </w:r>
    </w:p>
    <w:p>
      <w:pPr>
        <w:pStyle w:val="FirstParagraph"/>
      </w:pPr>
      <w:r>
        <w:t xml:space="preserve">This Marketing Plan positions the pharmacist as a vital, culturally embedded healthcare asset within New Zealand Auckland. By centering services around Auckland's community needs—addressing health inequities through Māori partnerships, Pacific Islander outreach, and digital accessibility—we transform traditional pharmacy into proactive population health management. The strategy ensures compliance with New Zealand regulations while building trust in a market where 78% of Aucklanders prioritize cultural safety when choosing healthcare providers (2023 Te Whatu Ora Survey). This plan is not merely a business tactic; it's a commitment to improving Auckland’s health outcomes through the pharmacist’s evolving role in Aotearoa New Zealand.</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New Zealand Auckland</dc:title>
  <dc:creator/>
  <dc:language>en</dc:language>
  <cp:keywords/>
  <dcterms:created xsi:type="dcterms:W3CDTF">2026-07-24T11:25:15Z</dcterms:created>
  <dcterms:modified xsi:type="dcterms:W3CDTF">2026-07-24T11:25:15Z</dcterms:modified>
</cp:coreProperties>
</file>

<file path=docProps/custom.xml><?xml version="1.0" encoding="utf-8"?>
<Properties xmlns="http://schemas.openxmlformats.org/officeDocument/2006/custom-properties" xmlns:vt="http://schemas.openxmlformats.org/officeDocument/2006/docPropsVTypes"/>
</file>