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Singapore</w:t>
      </w:r>
    </w:p>
    <w:bookmarkStart w:id="32" w:name="Xf777ad89b53be0f0292a773d0571b315d13357a"/>
    <w:p>
      <w:pPr>
        <w:pStyle w:val="Heading1"/>
      </w:pPr>
      <w:r>
        <w:t xml:space="preserve">Comprehensive Marketing Plan for Pharmacist Services in Singapore</w:t>
      </w:r>
    </w:p>
    <w:bookmarkStart w:id="20" w:name="executive-summary"/>
    <w:p>
      <w:pPr>
        <w:pStyle w:val="Heading2"/>
      </w:pPr>
      <w:r>
        <w:t xml:space="preserve">Executive Summary</w:t>
      </w:r>
    </w:p>
    <w:p>
      <w:pPr>
        <w:pStyle w:val="FirstParagraph"/>
      </w:pPr>
      <w:r>
        <w:t xml:space="preserve">This Marketing Plan outlines a strategic framework to elevate pharmacist services across Singapore's pharmaceutical landscape. With the healthcare sector undergoing digital transformation and aging population demands rising, this plan positions pharmacists as central healthcare providers rather than traditional medication dispensers. The strategy targets 30% market share growth in community pharmacy services within Singapore by 2026, focusing on patient-centered care models that align with Health Promotion Board (HPB) initiatives and Singapore's National Strategic Plan for Healthcare Innovation. This document integrates Singapore-specific regulatory frameworks, cultural nuances, and digital adoption trends to create a sustainable competitive advantage for pharmacist-led services.</w:t>
      </w:r>
    </w:p>
    <w:bookmarkEnd w:id="20"/>
    <w:bookmarkStart w:id="21" w:name="X8c8bbe2adeb7dcfa24bae4c4a1e4f7dde1c1126"/>
    <w:p>
      <w:pPr>
        <w:pStyle w:val="Heading2"/>
      </w:pPr>
      <w:r>
        <w:t xml:space="preserve">Market Analysis: Pharmacist Landscape in Singapore</w:t>
      </w:r>
    </w:p>
    <w:p>
      <w:pPr>
        <w:pStyle w:val="FirstParagraph"/>
      </w:pPr>
      <w:r>
        <w:t xml:space="preserve">Singapore's pharmaceutical market is valued at SGD 8.3 billion (2023), with community pharmacies serving over 10 million residents. The Ministry of Health (MOH) has accelerated pharmacist roles through the Enhanced Community Pharmacy Scheme, allowing pharmacists to conduct medication reviews and chronic disease management. However, only 15% of Singaporean pharmacies currently leverage these expanded roles due to outdated service models. Cultural factors are critical: Singaporeans prioritize healthcare efficiency and trust in clinical professionals, with 78% preferring pharmacist consultations for minor ailments (MOH Survey, 2023). The plan addresses key gaps including fragmented care coordination between hospitals and community pharmacists, limited digital engagement among seniors, and underutilized pharmacist expertise in preventive care.</w:t>
      </w:r>
    </w:p>
    <w:bookmarkEnd w:id="21"/>
    <w:bookmarkStart w:id="22" w:name="target-audience-segmentation"/>
    <w:p>
      <w:pPr>
        <w:pStyle w:val="Heading2"/>
      </w:pPr>
      <w:r>
        <w:t xml:space="preserve">Target Audience Segmentation</w:t>
      </w:r>
    </w:p>
    <w:p>
      <w:pPr>
        <w:pStyle w:val="FirstParagraph"/>
      </w:pPr>
      <w:r>
        <w:t xml:space="preserve">We identify three primary segments for our Pharmacist services in Singapore:</w:t>
      </w:r>
    </w:p>
    <w:p>
      <w:pPr>
        <w:numPr>
          <w:ilvl w:val="0"/>
          <w:numId w:val="1001"/>
        </w:numPr>
        <w:pStyle w:val="Compact"/>
      </w:pPr>
      <w:r>
        <w:rPr>
          <w:bCs/>
          <w:b/>
        </w:rPr>
        <w:t xml:space="preserve">Chronic Disease Patients (60% of target):</w:t>
      </w:r>
      <w:r>
        <w:t xml:space="preserve"> </w:t>
      </w:r>
      <w:r>
        <w:t xml:space="preserve">45-75-year-olds managing hypertension, diabetes, or COPD. They require medication adherence support and regular monitoring – a role where pharmacists excel per MOH guidelines.</w:t>
      </w:r>
    </w:p>
    <w:p>
      <w:pPr>
        <w:numPr>
          <w:ilvl w:val="0"/>
          <w:numId w:val="1001"/>
        </w:numPr>
        <w:pStyle w:val="Compact"/>
      </w:pPr>
      <w:r>
        <w:rPr>
          <w:bCs/>
          <w:b/>
        </w:rPr>
        <w:t xml:space="preserve">Busy Working Professionals (25%):</w:t>
      </w:r>
      <w:r>
        <w:t xml:space="preserve"> </w:t>
      </w:r>
      <w:r>
        <w:t xml:space="preserve">Urban professionals aged 28-45 seeking convenient health consultations during lunch breaks or after work hours, especially for minor ailments like colds or skin conditions.</w:t>
      </w:r>
    </w:p>
    <w:p>
      <w:pPr>
        <w:numPr>
          <w:ilvl w:val="0"/>
          <w:numId w:val="1001"/>
        </w:numPr>
        <w:pStyle w:val="Compact"/>
      </w:pPr>
      <w:r>
        <w:rPr>
          <w:bCs/>
          <w:b/>
        </w:rPr>
        <w:t xml:space="preserve">Senior Citizens (15%):</w:t>
      </w:r>
      <w:r>
        <w:t xml:space="preserve"> </w:t>
      </w:r>
      <w:r>
        <w:t xml:space="preserve">Elderly populations (&gt;65) requiring polypharmacy management and home delivery services, aligning with Singapore's "Aging in Place" initiative.</w:t>
      </w:r>
    </w:p>
    <w:bookmarkEnd w:id="22"/>
    <w:bookmarkStart w:id="23" w:name="Xcf304cefefe80087efdbbd8a73dcdf5b3adc6bc"/>
    <w:p>
      <w:pPr>
        <w:pStyle w:val="Heading2"/>
      </w:pPr>
      <w:r>
        <w:t xml:space="preserve">Marketing Objectives for Singapore Context</w:t>
      </w:r>
    </w:p>
    <w:p>
      <w:pPr>
        <w:numPr>
          <w:ilvl w:val="0"/>
          <w:numId w:val="1002"/>
        </w:numPr>
        <w:pStyle w:val="Compact"/>
      </w:pPr>
      <w:r>
        <w:t xml:space="preserve">Attain 40% patient referral rate from clinics/hospitals within 18 months through formal MOH-accredited partnerships.</w:t>
      </w:r>
    </w:p>
    <w:p>
      <w:pPr>
        <w:numPr>
          <w:ilvl w:val="0"/>
          <w:numId w:val="1002"/>
        </w:numPr>
        <w:pStyle w:val="Compact"/>
      </w:pPr>
      <w:r>
        <w:t xml:space="preserve">Achieve 70% digital adoption among target audience via SingHealth's HealthHub integration by Year 2.</w:t>
      </w:r>
    </w:p>
    <w:p>
      <w:pPr>
        <w:numPr>
          <w:ilvl w:val="0"/>
          <w:numId w:val="1002"/>
        </w:numPr>
        <w:pStyle w:val="Compact"/>
      </w:pPr>
      <w:r>
        <w:t xml:space="preserve">Reduce medication non-adherence rates by 25% in chronic disease patients (aligned with National Strategic Plan).</w:t>
      </w:r>
    </w:p>
    <w:p>
      <w:pPr>
        <w:numPr>
          <w:ilvl w:val="0"/>
          <w:numId w:val="1002"/>
        </w:numPr>
        <w:pStyle w:val="Compact"/>
      </w:pPr>
      <w:r>
        <w:t xml:space="preserve">Establish Singapore's first "Pharmacist-Managed Chronic Care Clinic" at three strategic locations (Central, East, West) by Q3 2025.</w:t>
      </w:r>
    </w:p>
    <w:bookmarkEnd w:id="23"/>
    <w:bookmarkStart w:id="27" w:name="Xa6950138062b0ecd67eea39faa1ea9637017969"/>
    <w:p>
      <w:pPr>
        <w:pStyle w:val="Heading2"/>
      </w:pPr>
      <w:r>
        <w:t xml:space="preserve">Strategic Initiatives for Pharmacist Services</w:t>
      </w:r>
    </w:p>
    <w:bookmarkStart w:id="24" w:name="X75dcc64927f761e72bc61f80870699647ac49ef"/>
    <w:p>
      <w:pPr>
        <w:pStyle w:val="Heading3"/>
      </w:pPr>
      <w:r>
        <w:t xml:space="preserve">1. Digital Integration with Singapore's Health Ecosystem</w:t>
      </w:r>
    </w:p>
    <w:p>
      <w:pPr>
        <w:pStyle w:val="FirstParagraph"/>
      </w:pPr>
      <w:r>
        <w:t xml:space="preserve">Leverage Singapore's national digital infrastructure through:</w:t>
      </w:r>
    </w:p>
    <w:p>
      <w:pPr>
        <w:numPr>
          <w:ilvl w:val="0"/>
          <w:numId w:val="1003"/>
        </w:numPr>
        <w:pStyle w:val="Compact"/>
      </w:pPr>
      <w:r>
        <w:rPr>
          <w:bCs/>
          <w:b/>
        </w:rPr>
        <w:t xml:space="preserve">HealthHub App Partnership:</w:t>
      </w:r>
      <w:r>
        <w:t xml:space="preserve"> </w:t>
      </w:r>
      <w:r>
        <w:t xml:space="preserve">Embed pharmacist consultation booking within MOH's HealthHub platform, enabling patients to schedule 15-minute virtual or in-person sessions.</w:t>
      </w:r>
    </w:p>
    <w:p>
      <w:pPr>
        <w:numPr>
          <w:ilvl w:val="0"/>
          <w:numId w:val="1003"/>
        </w:numPr>
        <w:pStyle w:val="Compact"/>
      </w:pPr>
      <w:r>
        <w:rPr>
          <w:bCs/>
          <w:b/>
        </w:rPr>
        <w:t xml:space="preserve">AI-Powered Medication Review:</w:t>
      </w:r>
      <w:r>
        <w:t xml:space="preserve"> </w:t>
      </w:r>
      <w:r>
        <w:t xml:space="preserve">Deploy SingHealth-approved AI tool (approved by HSA) that analyzes patient medication history and flags potential interactions, enhancing pharmacist efficiency during consultations.</w:t>
      </w:r>
    </w:p>
    <w:p>
      <w:pPr>
        <w:numPr>
          <w:ilvl w:val="0"/>
          <w:numId w:val="1003"/>
        </w:numPr>
        <w:pStyle w:val="Compact"/>
      </w:pPr>
      <w:r>
        <w:rPr>
          <w:bCs/>
          <w:b/>
        </w:rPr>
        <w:t xml:space="preserve">SGVerify Authentication:</w:t>
      </w:r>
      <w:r>
        <w:t xml:space="preserve"> </w:t>
      </w:r>
      <w:r>
        <w:t xml:space="preserve">Utilize Singapore's national digital ID system for seamless patient verification, complying with PDPA regulations.</w:t>
      </w:r>
    </w:p>
    <w:bookmarkEnd w:id="24"/>
    <w:bookmarkStart w:id="25" w:name="Xef6cc69fa0ee1374166d17fd6d6aa9970a5b75e"/>
    <w:p>
      <w:pPr>
        <w:pStyle w:val="Heading3"/>
      </w:pPr>
      <w:r>
        <w:t xml:space="preserve">2. Community Engagement Tailored to Singapore</w:t>
      </w:r>
    </w:p>
    <w:p>
      <w:pPr>
        <w:pStyle w:val="FirstParagraph"/>
      </w:pPr>
      <w:r>
        <w:t xml:space="preserve">Address cultural preferences through:</w:t>
      </w:r>
    </w:p>
    <w:p>
      <w:pPr>
        <w:numPr>
          <w:ilvl w:val="0"/>
          <w:numId w:val="1004"/>
        </w:numPr>
        <w:pStyle w:val="Compact"/>
      </w:pPr>
      <w:r>
        <w:rPr>
          <w:bCs/>
          <w:b/>
        </w:rPr>
        <w:t xml:space="preserve">"Pharmacist Health Check" Pop-Ups:</w:t>
      </w:r>
      <w:r>
        <w:t xml:space="preserve"> </w:t>
      </w:r>
      <w:r>
        <w:t xml:space="preserve">Partner with HDB void decks and community centers for free blood pressure/cholesterol screenings during weekend mornings (aligning with Singapore's active community lifestyle).</w:t>
      </w:r>
    </w:p>
    <w:p>
      <w:pPr>
        <w:numPr>
          <w:ilvl w:val="0"/>
          <w:numId w:val="1004"/>
        </w:numPr>
        <w:pStyle w:val="Compact"/>
      </w:pPr>
      <w:r>
        <w:rPr>
          <w:bCs/>
          <w:b/>
        </w:rPr>
        <w:t xml:space="preserve">Bilingual Service Offerings:</w:t>
      </w:r>
      <w:r>
        <w:t xml:space="preserve"> </w:t>
      </w:r>
      <w:r>
        <w:t xml:space="preserve">Ensure all pharmacists are trained in Singlish-English code-switching for better senior engagement, complemented by Mandarin/Malay-speaking staff at high-density locations.</w:t>
      </w:r>
    </w:p>
    <w:p>
      <w:pPr>
        <w:numPr>
          <w:ilvl w:val="0"/>
          <w:numId w:val="1004"/>
        </w:numPr>
        <w:pStyle w:val="Compact"/>
      </w:pPr>
      <w:r>
        <w:rPr>
          <w:bCs/>
          <w:b/>
        </w:rPr>
        <w:t xml:space="preserve">Clinic Partnership Program:</w:t>
      </w:r>
      <w:r>
        <w:t xml:space="preserve"> </w:t>
      </w:r>
      <w:r>
        <w:t xml:space="preserve">Formal MOH agreements with 50 polyclinics to refer high-risk patients (e.g., post-hospital discharge) to pharmacist care plans.</w:t>
      </w:r>
    </w:p>
    <w:bookmarkEnd w:id="25"/>
    <w:bookmarkStart w:id="26" w:name="X214ab77e43243cae7afc63671a3adff3ee9e912"/>
    <w:p>
      <w:pPr>
        <w:pStyle w:val="Heading3"/>
      </w:pPr>
      <w:r>
        <w:t xml:space="preserve">3. Service Differentiation for Pharmacist Value</w:t>
      </w:r>
    </w:p>
    <w:p>
      <w:pPr>
        <w:pStyle w:val="FirstParagraph"/>
      </w:pPr>
      <w:r>
        <w:t xml:space="preserve">This Marketing Plan elevates the pharmacist role beyond dispensing:</w:t>
      </w:r>
    </w:p>
    <w:p>
      <w:pPr>
        <w:numPr>
          <w:ilvl w:val="0"/>
          <w:numId w:val="1005"/>
        </w:numPr>
        <w:pStyle w:val="Compact"/>
      </w:pPr>
      <w:r>
        <w:rPr>
          <w:bCs/>
          <w:b/>
        </w:rPr>
        <w:t xml:space="preserve">Chronic Disease Management Packages:</w:t>
      </w:r>
      <w:r>
        <w:t xml:space="preserve"> </w:t>
      </w:r>
      <w:r>
        <w:t xml:space="preserve">Bundled services (medication review + lifestyle coaching) priced at SGD 45/month – competitive with clinic fees and covered under Medisave.</w:t>
      </w:r>
    </w:p>
    <w:p>
      <w:pPr>
        <w:numPr>
          <w:ilvl w:val="0"/>
          <w:numId w:val="1005"/>
        </w:numPr>
        <w:pStyle w:val="Compact"/>
      </w:pPr>
      <w:r>
        <w:rPr>
          <w:bCs/>
          <w:b/>
        </w:rPr>
        <w:t xml:space="preserve">Precision Medicine Consultations:</w:t>
      </w:r>
      <w:r>
        <w:t xml:space="preserve"> </w:t>
      </w:r>
      <w:r>
        <w:t xml:space="preserve">Specialized pharmacist-led sessions for genetic medication testing (e.g., Warfarin dosing) using Singapore's National Precision Medicine Initiative data.</w:t>
      </w:r>
    </w:p>
    <w:p>
      <w:pPr>
        <w:numPr>
          <w:ilvl w:val="0"/>
          <w:numId w:val="1005"/>
        </w:numPr>
        <w:pStyle w:val="Compact"/>
      </w:pPr>
      <w:r>
        <w:rPr>
          <w:bCs/>
          <w:b/>
        </w:rPr>
        <w:t xml:space="preserve">School Health Partnerships:</w:t>
      </w:r>
      <w:r>
        <w:t xml:space="preserve"> </w:t>
      </w:r>
      <w:r>
        <w:t xml:space="preserve">Collaborate with MOE to provide pharmacists for student wellness programs on managing allergies and asthma – a new service category in Singapore schools.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Singapore Context</w:t>
            </w:r>
          </w:p>
        </w:tc>
      </w:tr>
      <w:tr>
        <w:tc>
          <w:tcPr/>
          <w:p>
            <w:pPr>
              <w:pStyle w:val="Compact"/>
              <w:jc w:val="left"/>
            </w:pPr>
            <w:r>
              <w:t xml:space="preserve">Foundation Building</w:t>
            </w:r>
          </w:p>
        </w:tc>
        <w:tc>
          <w:tcPr/>
          <w:p>
            <w:pPr>
              <w:pStyle w:val="Compact"/>
              <w:jc w:val="left"/>
            </w:pPr>
            <w:r>
              <w:t xml:space="preserve">Q1-Q2 2024</w:t>
            </w:r>
          </w:p>
        </w:tc>
        <w:tc>
          <w:tcPr/>
          <w:p>
            <w:pPr>
              <w:pStyle w:val="Compact"/>
              <w:jc w:val="left"/>
            </w:pPr>
            <w:r>
              <w:t xml:space="preserve">Secure MOH partnerships, train pharmacists on digital tools, deploy HealthHub integration at 5 pilot locations (Tiong Bahru, Jurong East, Punggol)</w:t>
            </w:r>
          </w:p>
        </w:tc>
      </w:tr>
      <w:tr>
        <w:tc>
          <w:tcPr/>
          <w:p>
            <w:pPr>
              <w:pStyle w:val="Compact"/>
              <w:jc w:val="left"/>
            </w:pPr>
            <w:r>
              <w:t xml:space="preserve">Expansion Phase</w:t>
            </w:r>
          </w:p>
        </w:tc>
        <w:tc>
          <w:tcPr/>
          <w:p>
            <w:pPr>
              <w:pStyle w:val="Compact"/>
              <w:jc w:val="left"/>
            </w:pPr>
            <w:r>
              <w:t xml:space="preserve">Q3 2024-Q4 2025</w:t>
            </w:r>
          </w:p>
        </w:tc>
        <w:tc>
          <w:tcPr/>
          <w:p>
            <w:pPr>
              <w:pStyle w:val="Compact"/>
              <w:jc w:val="left"/>
            </w:pPr>
            <w:r>
              <w:t xml:space="preserve">Leverage SingHealth network for referrals; launch senior home delivery program with SingPost logistics; establish first Pharmacist-Managed Clinic in Central Singapore</w:t>
            </w:r>
          </w:p>
        </w:tc>
      </w:tr>
      <w:tr>
        <w:tc>
          <w:tcPr/>
          <w:p>
            <w:pPr>
              <w:pStyle w:val="Compact"/>
              <w:jc w:val="left"/>
            </w:pPr>
            <w:r>
              <w:t xml:space="preserve">Scale &amp; Innovation</w:t>
            </w:r>
          </w:p>
        </w:tc>
        <w:tc>
          <w:tcPr/>
          <w:p>
            <w:pPr>
              <w:pStyle w:val="Compact"/>
              <w:jc w:val="left"/>
            </w:pPr>
            <w:r>
              <w:t xml:space="preserve">Q1 2026 Onwards</w:t>
            </w:r>
          </w:p>
        </w:tc>
        <w:tc>
          <w:tcPr/>
          <w:p>
            <w:pPr>
              <w:pStyle w:val="Compact"/>
              <w:jc w:val="left"/>
            </w:pPr>
            <w:r>
              <w:t xml:space="preserve">Integrate with Singapore's Smart Nation sensors for remote patient monitoring; expand to 30 locations nationwide; develop pharmacist-led wellness programs for corporate clients (e.g., Singtel, DBS)</w:t>
            </w:r>
          </w:p>
        </w:tc>
      </w:tr>
    </w:tbl>
    <w:bookmarkEnd w:id="28"/>
    <w:bookmarkStart w:id="29" w:name="budget-allocation-singapore-specific"/>
    <w:p>
      <w:pPr>
        <w:pStyle w:val="Heading2"/>
      </w:pPr>
      <w:r>
        <w:t xml:space="preserve">Budget Allocation (Singapore-Specific)</w:t>
      </w:r>
    </w:p>
    <w:p>
      <w:pPr>
        <w:pStyle w:val="FirstParagraph"/>
      </w:pPr>
      <w:r>
        <w:t xml:space="preserve">Total Budget: SGD 1.8 million over 3 years:</w:t>
      </w:r>
    </w:p>
    <w:p>
      <w:pPr>
        <w:numPr>
          <w:ilvl w:val="0"/>
          <w:numId w:val="1006"/>
        </w:numPr>
        <w:pStyle w:val="Compact"/>
      </w:pPr>
      <w:r>
        <w:rPr>
          <w:bCs/>
          <w:b/>
        </w:rPr>
        <w:t xml:space="preserve">Technology (40%):</w:t>
      </w:r>
      <w:r>
        <w:t xml:space="preserve"> </w:t>
      </w:r>
      <w:r>
        <w:t xml:space="preserve">SGD 720,000 for HealthHub integration, AI tools, and cybersecurity (compliant with Singapore's Cybersecurity Act).</w:t>
      </w:r>
    </w:p>
    <w:p>
      <w:pPr>
        <w:numPr>
          <w:ilvl w:val="0"/>
          <w:numId w:val="1006"/>
        </w:numPr>
        <w:pStyle w:val="Compact"/>
      </w:pPr>
      <w:r>
        <w:rPr>
          <w:bCs/>
          <w:b/>
        </w:rPr>
        <w:t xml:space="preserve">Staff Training (25%):</w:t>
      </w:r>
      <w:r>
        <w:t xml:space="preserve"> </w:t>
      </w:r>
      <w:r>
        <w:t xml:space="preserve">SGD 450,000 for MOH-accredited pharmacist upskilling on digital consultations and chronic care protocols.</w:t>
      </w:r>
    </w:p>
    <w:p>
      <w:pPr>
        <w:numPr>
          <w:ilvl w:val="0"/>
          <w:numId w:val="1006"/>
        </w:numPr>
        <w:pStyle w:val="Compact"/>
      </w:pPr>
      <w:r>
        <w:rPr>
          <w:bCs/>
          <w:b/>
        </w:rPr>
        <w:t xml:space="preserve">Community Engagement (20%):</w:t>
      </w:r>
      <w:r>
        <w:t xml:space="preserve"> </w:t>
      </w:r>
      <w:r>
        <w:t xml:space="preserve">SGD 360,000 for pop-up events at HDB centers and school partnerships.</w:t>
      </w:r>
    </w:p>
    <w:p>
      <w:pPr>
        <w:numPr>
          <w:ilvl w:val="0"/>
          <w:numId w:val="1006"/>
        </w:numPr>
        <w:pStyle w:val="Compact"/>
      </w:pPr>
      <w:r>
        <w:rPr>
          <w:bCs/>
          <w:b/>
        </w:rPr>
        <w:t xml:space="preserve">Marketing &amp; Analytics (15%):</w:t>
      </w:r>
      <w:r>
        <w:t xml:space="preserve"> </w:t>
      </w:r>
      <w:r>
        <w:t xml:space="preserve">SGD 270,000 for targeted social media ads on Facebook/WhatsApp (Singapore's dominant platforms) and performance tracking via Singapore's Digital Health Dashboard.</w:t>
      </w:r>
    </w:p>
    <w:bookmarkEnd w:id="29"/>
    <w:bookmarkStart w:id="30" w:name="X22b5747ef77e5fe946bcdf76912fafd6fb8439f"/>
    <w:p>
      <w:pPr>
        <w:pStyle w:val="Heading2"/>
      </w:pPr>
      <w:r>
        <w:t xml:space="preserve">KPIs Measuring Success in Singapore Market</w:t>
      </w:r>
    </w:p>
    <w:p>
      <w:pPr>
        <w:pStyle w:val="FirstParagraph"/>
      </w:pPr>
      <w:r>
        <w:t xml:space="preserve">We track metrics aligned with Singapore's healthcare priorities:</w:t>
      </w:r>
    </w:p>
    <w:p>
      <w:pPr>
        <w:numPr>
          <w:ilvl w:val="0"/>
          <w:numId w:val="1007"/>
        </w:numPr>
        <w:pStyle w:val="Compact"/>
      </w:pPr>
      <w:r>
        <w:rPr>
          <w:bCs/>
          <w:b/>
        </w:rPr>
        <w:t xml:space="preserve">Adherence Rate Improvement:</w:t>
      </w:r>
      <w:r>
        <w:t xml:space="preserve"> </w:t>
      </w:r>
      <w:r>
        <w:t xml:space="preserve">% reduction in missed medication doses (tracked via pharmacy records, benchmarked against MOH targets).</w:t>
      </w:r>
    </w:p>
    <w:p>
      <w:pPr>
        <w:numPr>
          <w:ilvl w:val="0"/>
          <w:numId w:val="1007"/>
        </w:numPr>
        <w:pStyle w:val="Compact"/>
      </w:pPr>
      <w:r>
        <w:rPr>
          <w:bCs/>
          <w:b/>
        </w:rPr>
        <w:t xml:space="preserve">Digital Adoption Rate:</w:t>
      </w:r>
      <w:r>
        <w:t xml:space="preserve"> </w:t>
      </w:r>
      <w:r>
        <w:t xml:space="preserve"># of HealthHub bookings per pharmacist – target: 150 consultations/month by Year 2.</w:t>
      </w:r>
    </w:p>
    <w:p>
      <w:pPr>
        <w:numPr>
          <w:ilvl w:val="0"/>
          <w:numId w:val="1007"/>
        </w:numPr>
        <w:pStyle w:val="Compact"/>
      </w:pPr>
      <w:r>
        <w:rPr>
          <w:bCs/>
          <w:b/>
        </w:rPr>
        <w:t xml:space="preserve">Patient Satisfaction:</w:t>
      </w:r>
      <w:r>
        <w:t xml:space="preserve"> </w:t>
      </w:r>
      <w:r>
        <w:t xml:space="preserve">&gt;90% Net Promoter Score (NPS) in post-consultation surveys, using SingHealth's standardized questionnaire.</w:t>
      </w:r>
    </w:p>
    <w:p>
      <w:pPr>
        <w:numPr>
          <w:ilvl w:val="0"/>
          <w:numId w:val="1007"/>
        </w:numPr>
        <w:pStyle w:val="Compact"/>
      </w:pPr>
      <w:r>
        <w:rPr>
          <w:bCs/>
          <w:b/>
        </w:rPr>
        <w:t xml:space="preserve">Regulatory Alignment:</w:t>
      </w:r>
      <w:r>
        <w:t xml:space="preserve"> </w:t>
      </w:r>
      <w:r>
        <w:t xml:space="preserve">Compliance with MOH's Enhanced Community Pharmacy Scheme requirements (100% achieved).</w:t>
      </w:r>
    </w:p>
    <w:bookmarkEnd w:id="30"/>
    <w:bookmarkStart w:id="31" w:name="X3b1c6859cd1d339358a3bb7bc5cdd4ab1de84b9"/>
    <w:p>
      <w:pPr>
        <w:pStyle w:val="Heading2"/>
      </w:pPr>
      <w:r>
        <w:t xml:space="preserve">Conclusion: Pharmacist as Singapore's Healthcare Catalyst</w:t>
      </w:r>
    </w:p>
    <w:p>
      <w:pPr>
        <w:pStyle w:val="FirstParagraph"/>
      </w:pPr>
      <w:r>
        <w:t xml:space="preserve">This Marketing Plan positions the pharmacist not merely as a medication supplier but as an indispensable healthcare partner within Singapore's ecosystem. By embedding services into national digital infrastructure, respecting cultural engagement preferences, and aligning with MOH priorities like aging population care and chronic disease prevention, this strategy delivers measurable impact for both patients and pharmacy businesses. The focus on scalable pharmacist-led models directly supports Singapore's vision of a "Healthier Nation" – transforming the role from transactional to transformative. As the first marketing framework tailored exclusively to Singapore's regulatory environment and cultural context, this plan ensures pharmacists become central to community health outcomes across every neighborhood in Singapore.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Singapore</dc:title>
  <dc:creator/>
  <dc:language>en</dc:language>
  <cp:keywords/>
  <dcterms:created xsi:type="dcterms:W3CDTF">2026-07-23T10:46:27Z</dcterms:created>
  <dcterms:modified xsi:type="dcterms:W3CDTF">2026-07-23T10:46:27Z</dcterms:modified>
</cp:coreProperties>
</file>

<file path=docProps/custom.xml><?xml version="1.0" encoding="utf-8"?>
<Properties xmlns="http://schemas.openxmlformats.org/officeDocument/2006/custom-properties" xmlns:vt="http://schemas.openxmlformats.org/officeDocument/2006/docPropsVTypes"/>
</file>