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Pharmacist</w:t>
      </w:r>
      <w:r>
        <w:t xml:space="preserve"> </w:t>
      </w:r>
      <w:r>
        <w:t xml:space="preserve">Services</w:t>
      </w:r>
      <w:r>
        <w:t xml:space="preserve"> </w:t>
      </w:r>
      <w:r>
        <w:t xml:space="preserve">in</w:t>
      </w:r>
      <w:r>
        <w:t xml:space="preserve"> </w:t>
      </w:r>
      <w:r>
        <w:t xml:space="preserve">Istanbul,</w:t>
      </w:r>
      <w:r>
        <w:t xml:space="preserve"> </w:t>
      </w:r>
      <w:r>
        <w:t xml:space="preserve">Turkey</w:t>
      </w:r>
    </w:p>
    <w:bookmarkStart w:id="32" w:name="X9413bfb493bec6d69679948983c05cc29ab409e"/>
    <w:p>
      <w:pPr>
        <w:pStyle w:val="Heading1"/>
      </w:pPr>
      <w:r>
        <w:t xml:space="preserve">Comprehensive Marketing Plan: Elevating Pharmacist-Led Healthcare in Istanbul, Turkey</w:t>
      </w:r>
    </w:p>
    <w:bookmarkStart w:id="20" w:name="executive-summary"/>
    <w:p>
      <w:pPr>
        <w:pStyle w:val="Heading2"/>
      </w:pPr>
      <w:r>
        <w:t xml:space="preserve">Executive Summary</w:t>
      </w:r>
    </w:p>
    <w:p>
      <w:pPr>
        <w:pStyle w:val="FirstParagraph"/>
      </w:pPr>
      <w:r>
        <w:t xml:space="preserve">This strategic Marketing Plan outlines an integrated approach to position a premium pharmacist-led healthcare service within the dynamic market of Istanbul, Turkey. Recognizing the critical role of pharmacists in modern healthcare ecosystems, this plan targets Istanbul's diverse population—spanning 15 million residents and significant expatriate communities—to establish a trusted brand centered on pharmacist expertise. Unlike traditional pharmacies, our model prioritizes clinical services led by certified pharmacists, addressing key gaps in preventive care and medication management across Turkey Istanbul. With healthcare spending in Turkey projected to grow at 8% annually (World Bank, 2023), this initiative capitalizes on rising demand for accessible, pharmacist-driven health solutions within Istanbul's urban landscape.</w:t>
      </w:r>
    </w:p>
    <w:bookmarkEnd w:id="20"/>
    <w:bookmarkStart w:id="21" w:name="Xdcee3733986683b05912768d3ebff9374ae77db"/>
    <w:p>
      <w:pPr>
        <w:pStyle w:val="Heading2"/>
      </w:pPr>
      <w:r>
        <w:t xml:space="preserve">Situation Analysis: Market Opportunity in Istanbul, Turkey</w:t>
      </w:r>
    </w:p>
    <w:p>
      <w:pPr>
        <w:pStyle w:val="FirstParagraph"/>
      </w:pPr>
      <w:r>
        <w:t xml:space="preserve">Istanbul presents a unique healthcare environment characterized by dense urban populations, high chronic disease prevalence (diabetes and hypertension affect 30% of adults), and fragmented care coordination. Current pharmacist roles in Turkey often limit to dispensing medications, yet global evidence shows pharmacist-led interventions reduce hospital readmissions by 25% (WHO). In Istanbul specifically, only 18% of pharmacies offer clinical consultations—creating a significant opportunity for differentiation. Regulatory changes under TİTCK (Turkish Medicines and Medical Devices Agency) now permit expanded pharmacist services in Turkey, including chronic disease management and wellness programs. Our strategy aligns with this legal evolution while addressing Istanbul-specific needs: traffic congestion limiting clinic access, seasonal health challenges (e.g., winter respiratory illnesses), and cultural preferences for personalized care.</w:t>
      </w:r>
    </w:p>
    <w:bookmarkEnd w:id="21"/>
    <w:bookmarkStart w:id="22" w:name="target-audience-segmentation"/>
    <w:p>
      <w:pPr>
        <w:pStyle w:val="Heading2"/>
      </w:pPr>
      <w:r>
        <w:t xml:space="preserve">Target Audience Segmentation</w:t>
      </w:r>
    </w:p>
    <w:p>
      <w:pPr>
        <w:pStyle w:val="FirstParagraph"/>
      </w:pPr>
      <w:r>
        <w:t xml:space="preserve">We prioritize three high-value segments in Turkey Istanbul:</w:t>
      </w:r>
    </w:p>
    <w:p>
      <w:pPr>
        <w:numPr>
          <w:ilvl w:val="0"/>
          <w:numId w:val="1001"/>
        </w:numPr>
        <w:pStyle w:val="Compact"/>
      </w:pPr>
      <w:r>
        <w:rPr>
          <w:bCs/>
          <w:b/>
        </w:rPr>
        <w:t xml:space="preserve">Urban Elderly Population (55+):</w:t>
      </w:r>
      <w:r>
        <w:t xml:space="preserve"> </w:t>
      </w:r>
      <w:r>
        <w:t xml:space="preserve">38% of Istanbul residents over 50. They require medication adherence support but face mobility challenges due to Istanbul’s infrastructure.</w:t>
      </w:r>
    </w:p>
    <w:p>
      <w:pPr>
        <w:numPr>
          <w:ilvl w:val="0"/>
          <w:numId w:val="1001"/>
        </w:numPr>
        <w:pStyle w:val="Compact"/>
      </w:pPr>
      <w:r>
        <w:rPr>
          <w:bCs/>
          <w:b/>
        </w:rPr>
        <w:t xml:space="preserve">Health-Conscious Expatriates:</w:t>
      </w:r>
      <w:r>
        <w:t xml:space="preserve"> </w:t>
      </w:r>
      <w:r>
        <w:t xml:space="preserve">Over 300,000 Western expats in Istanbul demand English-speaking pharmacist services and integrative health approaches.</w:t>
      </w:r>
    </w:p>
    <w:p>
      <w:pPr>
        <w:numPr>
          <w:ilvl w:val="0"/>
          <w:numId w:val="1001"/>
        </w:numPr>
        <w:pStyle w:val="Compact"/>
      </w:pPr>
      <w:r>
        <w:rPr>
          <w:bCs/>
          <w:b/>
        </w:rPr>
        <w:t xml:space="preserve">Middle-Income Families (35–45):</w:t>
      </w:r>
      <w:r>
        <w:t xml:space="preserve"> </w:t>
      </w:r>
      <w:r>
        <w:t xml:space="preserve">Seeking preventive care for children and chronic conditions; responsive to digital engagement.</w:t>
      </w:r>
    </w:p>
    <w:bookmarkEnd w:id="22"/>
    <w:bookmarkStart w:id="23" w:name="marketing-objectives-year-1"/>
    <w:p>
      <w:pPr>
        <w:pStyle w:val="Heading2"/>
      </w:pPr>
      <w:r>
        <w:t xml:space="preserve">Marketing Objectives (Year 1)</w:t>
      </w:r>
    </w:p>
    <w:p>
      <w:pPr>
        <w:numPr>
          <w:ilvl w:val="0"/>
          <w:numId w:val="1002"/>
        </w:numPr>
        <w:pStyle w:val="Compact"/>
      </w:pPr>
      <w:r>
        <w:t xml:space="preserve">Achieve 70% brand recognition among target segments in Istanbul within 18 months.</w:t>
      </w:r>
    </w:p>
    <w:p>
      <w:pPr>
        <w:numPr>
          <w:ilvl w:val="0"/>
          <w:numId w:val="1002"/>
        </w:numPr>
        <w:pStyle w:val="Compact"/>
      </w:pPr>
      <w:r>
        <w:t xml:space="preserve">Generate 1,500 monthly pharmacist-led consultations (vs. industry average of 300).</w:t>
      </w:r>
    </w:p>
    <w:p>
      <w:pPr>
        <w:numPr>
          <w:ilvl w:val="0"/>
          <w:numId w:val="1002"/>
        </w:numPr>
        <w:pStyle w:val="Compact"/>
      </w:pPr>
      <w:r>
        <w:t xml:space="preserve">Attain a customer satisfaction score of ≥4.5/5.0 through post-consultation surveys.</w:t>
      </w:r>
    </w:p>
    <w:p>
      <w:pPr>
        <w:numPr>
          <w:ilvl w:val="0"/>
          <w:numId w:val="1002"/>
        </w:numPr>
        <w:pStyle w:val="Compact"/>
      </w:pPr>
      <w:r>
        <w:t xml:space="preserve">Secure partnerships with 20+ clinics/hospitals in Istanbul for referral networks.</w:t>
      </w:r>
    </w:p>
    <w:bookmarkEnd w:id="23"/>
    <w:bookmarkStart w:id="27" w:name="X330096aef9d8ada890d0de89cc1337a75100ec2"/>
    <w:p>
      <w:pPr>
        <w:pStyle w:val="Heading2"/>
      </w:pPr>
      <w:r>
        <w:t xml:space="preserve">Strategic Initiatives: Pharmacist-Centric Positioning</w:t>
      </w:r>
    </w:p>
    <w:p>
      <w:pPr>
        <w:pStyle w:val="FirstParagraph"/>
      </w:pPr>
      <w:r>
        <w:t xml:space="preserve">The cornerstone of this plan is redefining the "pharmacist" role from dispensary staff to healthcare partner. All strategies emphasize pharmacist expertise, avoiding generic pharmacy marketing:</w:t>
      </w:r>
    </w:p>
    <w:bookmarkStart w:id="24" w:name="X731f072b22003593f4b5ed89e0e27f8965ec24e"/>
    <w:p>
      <w:pPr>
        <w:pStyle w:val="Heading3"/>
      </w:pPr>
      <w:r>
        <w:t xml:space="preserve">1. Service Differentiation: The Istanbul Pharmacist Wellness Hub</w:t>
      </w:r>
    </w:p>
    <w:p>
      <w:pPr>
        <w:pStyle w:val="FirstParagraph"/>
      </w:pPr>
      <w:r>
        <w:t xml:space="preserve">Launch clinics in high-traffic Istanbul neighborhoods (Kadıköy, Beşiktaş, Şişli) offering:</w:t>
      </w:r>
      <w:r>
        <w:t xml:space="preserve"> </w:t>
      </w:r>
      <w:r>
        <w:t xml:space="preserve">•</w:t>
      </w:r>
      <w:r>
        <w:t xml:space="preserve"> </w:t>
      </w:r>
      <w:r>
        <w:rPr>
          <w:iCs/>
          <w:i/>
        </w:rPr>
        <w:t xml:space="preserve">Medication Therapy Management (MTM)</w:t>
      </w:r>
      <w:r>
        <w:t xml:space="preserve">: Personalized review for chronic conditions.</w:t>
      </w:r>
      <w:r>
        <w:t xml:space="preserve"> </w:t>
      </w:r>
      <w:r>
        <w:t xml:space="preserve">•</w:t>
      </w:r>
      <w:r>
        <w:t xml:space="preserve"> </w:t>
      </w:r>
      <w:r>
        <w:rPr>
          <w:iCs/>
          <w:i/>
        </w:rPr>
        <w:t xml:space="preserve">Wellness Consultations</w:t>
      </w:r>
      <w:r>
        <w:t xml:space="preserve">: Nutrition guidance tailored to Turkish diets.</w:t>
      </w:r>
      <w:r>
        <w:t xml:space="preserve"> </w:t>
      </w:r>
      <w:r>
        <w:t xml:space="preserve">•</w:t>
      </w:r>
      <w:r>
        <w:t xml:space="preserve"> </w:t>
      </w:r>
      <w:r>
        <w:rPr>
          <w:iCs/>
          <w:i/>
        </w:rPr>
        <w:t xml:space="preserve">Cold &amp; Flu Clinics</w:t>
      </w:r>
      <w:r>
        <w:t xml:space="preserve">: Seasonal pop-up kiosks during Istanbul’s winter months (October–March).</w:t>
      </w:r>
      <w:r>
        <w:t xml:space="preserve"> </w:t>
      </w:r>
      <w:r>
        <w:t xml:space="preserve">Each service is led by a certified pharmacist, with all staff trained in cultural competency for Turkey Istanbul’s diverse demographics.</w:t>
      </w:r>
    </w:p>
    <w:bookmarkEnd w:id="24"/>
    <w:bookmarkStart w:id="25" w:name="digital-first-patient-engagement"/>
    <w:p>
      <w:pPr>
        <w:pStyle w:val="Heading3"/>
      </w:pPr>
      <w:r>
        <w:t xml:space="preserve">2. Digital-First Patient Engagement</w:t>
      </w:r>
    </w:p>
    <w:p>
      <w:pPr>
        <w:pStyle w:val="FirstParagraph"/>
      </w:pPr>
      <w:r>
        <w:t xml:space="preserve">Develop a Turkish/English mobile app featuring:</w:t>
      </w:r>
      <w:r>
        <w:t xml:space="preserve"> </w:t>
      </w:r>
      <w:r>
        <w:t xml:space="preserve">•</w:t>
      </w:r>
      <w:r>
        <w:t xml:space="preserve"> </w:t>
      </w:r>
      <w:r>
        <w:rPr>
          <w:iCs/>
          <w:i/>
        </w:rPr>
        <w:t xml:space="preserve">24/7 Pharmacist Chat</w:t>
      </w:r>
      <w:r>
        <w:t xml:space="preserve">: Addressing Istanbul traffic barriers to clinic visits.</w:t>
      </w:r>
      <w:r>
        <w:t xml:space="preserve"> </w:t>
      </w:r>
      <w:r>
        <w:t xml:space="preserve">•</w:t>
      </w:r>
      <w:r>
        <w:t xml:space="preserve"> </w:t>
      </w:r>
      <w:r>
        <w:rPr>
          <w:iCs/>
          <w:i/>
        </w:rPr>
        <w:t xml:space="preserve">Medication Reminders</w:t>
      </w:r>
      <w:r>
        <w:t xml:space="preserve">: Integrated with Turkey’s national e-prescription system (TSE).</w:t>
      </w:r>
      <w:r>
        <w:t xml:space="preserve"> </w:t>
      </w:r>
      <w:r>
        <w:t xml:space="preserve">•</w:t>
      </w:r>
      <w:r>
        <w:t xml:space="preserve"> </w:t>
      </w:r>
      <w:r>
        <w:rPr>
          <w:iCs/>
          <w:i/>
        </w:rPr>
        <w:t xml:space="preserve">Social Media Campaigns</w:t>
      </w:r>
      <w:r>
        <w:t xml:space="preserve">: Instagram/TikTok content showcasing pharmacist stories (e.g., "A Pharmacist’s Day in Beyoğlu"). All content emphasizes the pharmacist as a health ally, not a vendor.</w:t>
      </w:r>
    </w:p>
    <w:bookmarkEnd w:id="25"/>
    <w:bookmarkStart w:id="26" w:name="Xc203ca6815a9f45d39b13538469383d3d2504df"/>
    <w:p>
      <w:pPr>
        <w:pStyle w:val="Heading3"/>
      </w:pPr>
      <w:r>
        <w:t xml:space="preserve">3. Community Partnerships in Turkey Istanbul</w:t>
      </w:r>
    </w:p>
    <w:p>
      <w:pPr>
        <w:pStyle w:val="FirstParagraph"/>
      </w:pPr>
      <w:r>
        <w:t xml:space="preserve">Forge alliances with:</w:t>
      </w:r>
      <w:r>
        <w:t xml:space="preserve"> </w:t>
      </w:r>
      <w:r>
        <w:t xml:space="preserve">•</w:t>
      </w:r>
      <w:r>
        <w:t xml:space="preserve"> </w:t>
      </w:r>
      <w:r>
        <w:rPr>
          <w:iCs/>
          <w:i/>
        </w:rPr>
        <w:t xml:space="preserve">Istanbul Metropolitan Municipality Health Centers:</w:t>
      </w:r>
      <w:r>
        <w:t xml:space="preserve"> </w:t>
      </w:r>
      <w:r>
        <w:t xml:space="preserve">Co-host free "Pharmacist for Life" workshops on medication safety.</w:t>
      </w:r>
      <w:r>
        <w:t xml:space="preserve"> </w:t>
      </w:r>
      <w:r>
        <w:t xml:space="preserve">•</w:t>
      </w:r>
      <w:r>
        <w:t xml:space="preserve"> </w:t>
      </w:r>
      <w:r>
        <w:rPr>
          <w:iCs/>
          <w:i/>
        </w:rPr>
        <w:t xml:space="preserve">National Pharmacies (e.g., Apotek):</w:t>
      </w:r>
      <w:r>
        <w:t xml:space="preserve"> </w:t>
      </w:r>
      <w:r>
        <w:t xml:space="preserve">Cross-promote pharmacist consultations at physical locations.</w:t>
      </w:r>
      <w:r>
        <w:t xml:space="preserve"> </w:t>
      </w:r>
      <w:r>
        <w:t xml:space="preserve">•</w:t>
      </w:r>
      <w:r>
        <w:t xml:space="preserve"> </w:t>
      </w:r>
      <w:r>
        <w:rPr>
          <w:iCs/>
          <w:i/>
        </w:rPr>
        <w:t xml:space="preserve">Turkish Red Crescent:</w:t>
      </w:r>
      <w:r>
        <w:t xml:space="preserve"> </w:t>
      </w:r>
      <w:r>
        <w:t xml:space="preserve">Support health drives during Ramadan, positioning the pharmacist as a community wellness pillar.</w:t>
      </w:r>
    </w:p>
    <w:bookmarkEnd w:id="26"/>
    <w:bookmarkEnd w:id="27"/>
    <w:bookmarkStart w:id="28" w:name="budget-allocation-year-1"/>
    <w:p>
      <w:pPr>
        <w:pStyle w:val="Heading2"/>
      </w:pPr>
      <w:r>
        <w:t xml:space="preserve">Budget Allocation (Year 1)</w:t>
      </w:r>
    </w:p>
    <w:p>
      <w:pPr>
        <w:pStyle w:val="FirstParagraph"/>
      </w:pPr>
      <w:r>
        <w:t xml:space="preserve">Initiative</w:t>
      </w:r>
    </w:p>
    <w:p>
      <w:pPr>
        <w:pStyle w:val="BodyText"/>
      </w:pPr>
      <w:r>
        <w:t xml:space="preserve">Allocation (TL)</w:t>
      </w:r>
    </w:p>
    <w:p>
      <w:pPr>
        <w:pStyle w:val="BodyText"/>
      </w:pPr>
      <w:r>
        <w:t xml:space="preserve">Focus Area</w:t>
      </w:r>
    </w:p>
    <w:p>
      <w:pPr>
        <w:pStyle w:val="BodyText"/>
      </w:pPr>
      <w:r>
        <w:t xml:space="preserve">Digital App Development &amp; Marketing</w:t>
      </w:r>
    </w:p>
    <w:p>
      <w:pPr>
        <w:pStyle w:val="BodyText"/>
      </w:pPr>
      <w:r>
        <w:t xml:space="preserve">420,000</w:t>
      </w:r>
    </w:p>
    <w:p>
      <w:pPr>
        <w:pStyle w:val="BodyText"/>
      </w:pPr>
      <w:r>
        <w:t xml:space="preserve">Digital Engagement for Istanbul Residents</w:t>
      </w:r>
    </w:p>
    <w:p>
      <w:pPr>
        <w:pStyle w:val="BodyText"/>
      </w:pPr>
      <w:r>
        <w:t xml:space="preserve">Pharmacist Training &amp; Certification</w:t>
      </w:r>
    </w:p>
    <w:p>
      <w:pPr>
        <w:pStyle w:val="BodyText"/>
      </w:pPr>
      <w:r>
        <w:t xml:space="preserve">350,000</w:t>
      </w:r>
    </w:p>
    <w:p>
      <w:pPr>
        <w:pStyle w:val="BodyText"/>
      </w:pPr>
      <w:r>
        <w:t xml:space="preserve">Raising Service Quality Standards in Turkey</w:t>
      </w:r>
    </w:p>
    <w:p>
      <w:pPr>
        <w:pStyle w:val="BodyText"/>
      </w:pPr>
      <w:r>
        <w:t xml:space="preserve">Community Partnerships &amp; Events</w:t>
      </w:r>
    </w:p>
    <w:p>
      <w:pPr>
        <w:pStyle w:val="BodyText"/>
      </w:pPr>
      <w:r>
        <w:t xml:space="preserve">280,000</w:t>
      </w:r>
    </w:p>
    <w:p>
      <w:pPr>
        <w:pStyle w:val="BodyText"/>
      </w:pPr>
      <w:r>
        <w:t xml:space="preserve">Istanbul Neighborhood Outreach</w:t>
      </w:r>
    </w:p>
    <w:p>
      <w:pPr>
        <w:pStyle w:val="BodyText"/>
      </w:pPr>
      <w:r>
        <w:t xml:space="preserve">Digital Advertising (Instagram/Google)</w:t>
      </w:r>
    </w:p>
    <w:p>
      <w:pPr>
        <w:pStyle w:val="BodyText"/>
      </w:pPr>
      <w:r>
        <w:t xml:space="preserve">300,000</w:t>
      </w:r>
    </w:p>
    <w:p>
      <w:pPr>
        <w:pStyle w:val="BodyText"/>
      </w:pPr>
      <w:r>
        <w:br/>
      </w:r>
    </w:p>
    <w:p>
      <w:pPr>
        <w:pStyle w:val="BodyText"/>
      </w:pPr>
      <w:r>
        <w:t xml:space="preserve">Turkish &amp; Expatriate Targeting</w:t>
      </w:r>
    </w:p>
    <w:p>
      <w:pPr>
        <w:pStyle w:val="BodyText"/>
      </w:pPr>
      <w:r>
        <w:t xml:space="preserve">Total</w:t>
      </w:r>
    </w:p>
    <w:p>
      <w:pPr>
        <w:pStyle w:val="BodyText"/>
      </w:pPr>
      <w:r>
        <w:t xml:space="preserve">1,350,000 TL</w:t>
      </w:r>
    </w:p>
    <w:bookmarkEnd w:id="28"/>
    <w:bookmarkStart w:id="29" w:name="X6cd0ec1cb284ff92cce639f181bb97d34e4ce69"/>
    <w:p>
      <w:pPr>
        <w:pStyle w:val="Heading2"/>
      </w:pPr>
      <w:r>
        <w:t xml:space="preserve">KPIs for Success in Turkey Istanbul Context</w:t>
      </w:r>
    </w:p>
    <w:p>
      <w:pPr>
        <w:pStyle w:val="FirstParagraph"/>
      </w:pPr>
      <w:r>
        <w:t xml:space="preserve">Progress will be measured through metrics deeply tied to pharmacist value:</w:t>
      </w:r>
    </w:p>
    <w:p>
      <w:pPr>
        <w:numPr>
          <w:ilvl w:val="0"/>
          <w:numId w:val="1003"/>
        </w:numPr>
        <w:pStyle w:val="Compact"/>
      </w:pPr>
      <w:r>
        <w:rPr>
          <w:bCs/>
          <w:b/>
        </w:rPr>
        <w:t xml:space="preserve">Pharmacist Consultation Volume:</w:t>
      </w:r>
      <w:r>
        <w:t xml:space="preserve"> </w:t>
      </w:r>
      <w:r>
        <w:t xml:space="preserve">Tracked per clinic location in Istanbul (e.g., Kadıköy: 500/month by Q3).</w:t>
      </w:r>
    </w:p>
    <w:p>
      <w:pPr>
        <w:numPr>
          <w:ilvl w:val="0"/>
          <w:numId w:val="1003"/>
        </w:numPr>
        <w:pStyle w:val="Compact"/>
      </w:pPr>
      <w:r>
        <w:rPr>
          <w:bCs/>
          <w:b/>
        </w:rPr>
        <w:t xml:space="preserve">Clinical Outcomes:</w:t>
      </w:r>
      <w:r>
        <w:t xml:space="preserve"> </w:t>
      </w:r>
      <w:r>
        <w:t xml:space="preserve">Reduction in medication errors (target: 20% decrease via MTM).</w:t>
      </w:r>
    </w:p>
    <w:p>
      <w:pPr>
        <w:numPr>
          <w:ilvl w:val="0"/>
          <w:numId w:val="1003"/>
        </w:numPr>
        <w:pStyle w:val="Compact"/>
      </w:pPr>
      <w:r>
        <w:rPr>
          <w:bCs/>
          <w:b/>
        </w:rPr>
        <w:t xml:space="preserve">Community Trust Index:</w:t>
      </w:r>
      <w:r>
        <w:t xml:space="preserve"> </w:t>
      </w:r>
      <w:r>
        <w:t xml:space="preserve">Measured through quarterly surveys on "Istanbul residents’ willingness to consult a pharmacist over a doctor for routine issues."</w:t>
      </w:r>
    </w:p>
    <w:p>
      <w:pPr>
        <w:numPr>
          <w:ilvl w:val="0"/>
          <w:numId w:val="1003"/>
        </w:numPr>
        <w:pStyle w:val="Compact"/>
      </w:pPr>
      <w:r>
        <w:rPr>
          <w:bCs/>
          <w:b/>
        </w:rPr>
        <w:t xml:space="preserve">Digital Adoption:</w:t>
      </w:r>
      <w:r>
        <w:t xml:space="preserve"> </w:t>
      </w:r>
      <w:r>
        <w:t xml:space="preserve">App downloads among Istanbul expats (target: 5,000 in Year 1).</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Secure permits from Istanbul Provincial Health Directorate; train pharmacists on clinical protocols.</w:t>
      </w:r>
    </w:p>
    <w:p>
      <w:pPr>
        <w:pStyle w:val="BodyText"/>
      </w:pPr>
      <w:r>
        <w:rPr>
          <w:bCs/>
          <w:b/>
        </w:rPr>
        <w:t xml:space="preserve">Months 4–6:</w:t>
      </w:r>
      <w:r>
        <w:t xml:space="preserve"> </w:t>
      </w:r>
      <w:r>
        <w:t xml:space="preserve">Launch app and pilot clinics in Kadıköy/Beşiktaş; partner with Red Crescent for Ramadan health campaign.</w:t>
      </w:r>
    </w:p>
    <w:p>
      <w:pPr>
        <w:pStyle w:val="BodyText"/>
      </w:pPr>
      <w:r>
        <w:rPr>
          <w:bCs/>
          <w:b/>
        </w:rPr>
        <w:t xml:space="preserve">Months 7–9:</w:t>
      </w:r>
      <w:r>
        <w:t xml:space="preserve"> </w:t>
      </w:r>
      <w:r>
        <w:t xml:space="preserve">Expand to Şişli clinic; initiate social media influencer collabs (Turkish wellness bloggers).</w:t>
      </w:r>
    </w:p>
    <w:p>
      <w:pPr>
        <w:pStyle w:val="BodyText"/>
      </w:pPr>
      <w:r>
        <w:rPr>
          <w:bCs/>
          <w:b/>
        </w:rPr>
        <w:t xml:space="preserve">Months 10–12:</w:t>
      </w:r>
      <w:r>
        <w:t xml:space="preserve"> </w:t>
      </w:r>
      <w:r>
        <w:t xml:space="preserve">Scale to all target neighborhoods; publish Year 1 impact report highlighting pharmacist-led outcomes in Turkey Istanbul.</w:t>
      </w:r>
    </w:p>
    <w:bookmarkEnd w:id="30"/>
    <w:bookmarkStart w:id="31" w:name="X4c04d96285446c2317a0c416290109b9a8f3c6f"/>
    <w:p>
      <w:pPr>
        <w:pStyle w:val="Heading2"/>
      </w:pPr>
      <w:r>
        <w:t xml:space="preserve">Conclusion: Pharmacist as Healthcare Catalyst</w:t>
      </w:r>
    </w:p>
    <w:p>
      <w:pPr>
        <w:pStyle w:val="FirstParagraph"/>
      </w:pPr>
      <w:r>
        <w:t xml:space="preserve">This Marketing Plan positions the pharmacist—not as a seller of products, but as the frontline healthcare professional—within Istanbul’s evolving ecosystem. By embedding pharmacist expertise into daily health routines across Turkey Istanbul, we address systemic gaps while complying with national regulations. The success of this initiative will redefine "pharmacist" in the Turkish market: not a retail role, but a pillar of community wellness. With 84% of Istanbul residents indicating willingness to seek pharmacist advice for minor health issues (TÜİK Survey, 2023), our strategic focus on the pharmacist as a trusted advisor is both timely and transformative for healthcare delivery in Turkey.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Pharmacist Services in Istanbul, Turkey</dc:title>
  <dc:creator/>
  <dc:language>en</dc:language>
  <cp:keywords/>
  <dcterms:created xsi:type="dcterms:W3CDTF">2025-12-15T22:13:42Z</dcterms:created>
  <dcterms:modified xsi:type="dcterms:W3CDTF">2025-12-15T22:13:42Z</dcterms:modified>
</cp:coreProperties>
</file>

<file path=docProps/custom.xml><?xml version="1.0" encoding="utf-8"?>
<Properties xmlns="http://schemas.openxmlformats.org/officeDocument/2006/custom-properties" xmlns:vt="http://schemas.openxmlformats.org/officeDocument/2006/docPropsVTypes"/>
</file>