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304459940cf43d25038d83a261778190ada36b0"/>
    <w:p>
      <w:pPr>
        <w:pStyle w:val="Heading1"/>
      </w:pPr>
      <w:r>
        <w:t xml:space="preserve">Comprehensive Marketing Plan for Pharmacist Services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pharmacy service in the dynamic healthcare landscape of United Arab Emirates Dubai. As the demand for specialized pharmaceutical care surges in Dubai, this plan positions our pharmacist services as essential healthcare partners through culturally attuned solutions, digital innovation, and community engagement. The core objective is to become the most trusted pharmacist network across Dubai by 2026, capturing 15% market share while prioritizing patient outcomes over transactional sales.</w:t>
      </w:r>
    </w:p>
    <w:bookmarkEnd w:id="20"/>
    <w:bookmarkStart w:id="21" w:name="X956052de289dd1d3808ff32ebba306abb007357"/>
    <w:p>
      <w:pPr>
        <w:pStyle w:val="Heading2"/>
      </w:pPr>
      <w:r>
        <w:t xml:space="preserve">Situation Analysis: Dubai Healthcare Market</w:t>
      </w:r>
    </w:p>
    <w:p>
      <w:pPr>
        <w:pStyle w:val="FirstParagraph"/>
      </w:pPr>
      <w:r>
        <w:t xml:space="preserve">United Arab Emirates Dubai boasts one of the world's most advanced healthcare systems, with government initiatives like Dubai Health Strategy 2021 driving pharmaceutical accessibility. However, current market gaps persist: 68% of expatriate residents report limited pharmacist engagement beyond dispensing medications (Dubai Health Authority, 2023). The UAE's aging population (18.7% over 60) and rising chronic disease prevalence (diabetes at 15.4%) create urgent demand for proactive pharmacist-led care. Unlike competitors focused solely on retail, our Marketing Plan leverages Dubai's tech-savvy demographic—where 93% use smartphones—to integrate pharmacists into digital health ecosystems.</w:t>
      </w:r>
    </w:p>
    <w:bookmarkEnd w:id="21"/>
    <w:bookmarkStart w:id="22" w:name="target-audience-segmentation"/>
    <w:p>
      <w:pPr>
        <w:pStyle w:val="Heading2"/>
      </w:pPr>
      <w:r>
        <w:t xml:space="preserve">Target Audience Segmentation</w:t>
      </w:r>
    </w:p>
    <w:p>
      <w:pPr>
        <w:pStyle w:val="FirstParagraph"/>
      </w:pPr>
      <w:r>
        <w:t xml:space="preserve">We prioritize three high-value segments in Dubai:</w:t>
      </w:r>
    </w:p>
    <w:p>
      <w:pPr>
        <w:numPr>
          <w:ilvl w:val="0"/>
          <w:numId w:val="1001"/>
        </w:numPr>
        <w:pStyle w:val="Compact"/>
      </w:pPr>
      <w:r>
        <w:rPr>
          <w:bCs/>
          <w:b/>
        </w:rPr>
        <w:t xml:space="preserve">Expatriate Families (60% of population)</w:t>
      </w:r>
      <w:r>
        <w:t xml:space="preserve">: Seeking culturally sensitive medication counseling, especially for chronic conditions like hypertension and diabetes prevalent among South Asian communities.</w:t>
      </w:r>
    </w:p>
    <w:p>
      <w:pPr>
        <w:numPr>
          <w:ilvl w:val="0"/>
          <w:numId w:val="1001"/>
        </w:numPr>
        <w:pStyle w:val="Compact"/>
      </w:pPr>
      <w:r>
        <w:rPr>
          <w:bCs/>
          <w:b/>
        </w:rPr>
        <w:t xml:space="preserve">Sophisticated Local Residents (25%)</w:t>
      </w:r>
      <w:r>
        <w:t xml:space="preserve">: Affluent Emiratis prioritizing preventive care; they demand personalized pharmacist consultations beyond basic dispensing.</w:t>
      </w:r>
    </w:p>
    <w:p>
      <w:pPr>
        <w:numPr>
          <w:ilvl w:val="0"/>
          <w:numId w:val="1001"/>
        </w:numPr>
        <w:pStyle w:val="Compact"/>
      </w:pPr>
      <w:r>
        <w:rPr>
          <w:bCs/>
          <w:b/>
        </w:rPr>
        <w:t xml:space="preserve">Corporate Wellness Programs (15%)</w:t>
      </w:r>
      <w:r>
        <w:t xml:space="preserve">: Large multinational companies in Dubai's business hubs seeking integrated pharmacist services for employee health management.</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Positioning:</w:t>
      </w:r>
      <w:r>
        <w:t xml:space="preserve"> </w:t>
      </w:r>
      <w:r>
        <w:t xml:space="preserve">Establish as "Dubai’s Premier Pharmacist Partnership" – not just a pharmacy but a clinical health ally.</w:t>
      </w:r>
    </w:p>
    <w:p>
      <w:pPr>
        <w:numPr>
          <w:ilvl w:val="0"/>
          <w:numId w:val="1002"/>
        </w:numPr>
        <w:pStyle w:val="Compact"/>
      </w:pPr>
      <w:r>
        <w:rPr>
          <w:bCs/>
          <w:b/>
        </w:rPr>
        <w:t xml:space="preserve">Growth Targets:</w:t>
      </w:r>
      <w:r>
        <w:t xml:space="preserve"> </w:t>
      </w:r>
      <w:r>
        <w:t xml:space="preserve">Achieve 30% market penetration in Dubai's corporate wellness sector and secure 5,000 active patient consultations by Q4 2025.</w:t>
      </w:r>
    </w:p>
    <w:p>
      <w:pPr>
        <w:numPr>
          <w:ilvl w:val="0"/>
          <w:numId w:val="1002"/>
        </w:numPr>
        <w:pStyle w:val="Compact"/>
      </w:pPr>
      <w:r>
        <w:rPr>
          <w:bCs/>
          <w:b/>
        </w:rPr>
        <w:t xml:space="preserve">Community Impact:</w:t>
      </w:r>
      <w:r>
        <w:t xml:space="preserve"> </w:t>
      </w:r>
      <w:r>
        <w:t xml:space="preserve">Conduct free diabetic medication reviews for 1,200 residents across Dubai community centers annually.</w:t>
      </w:r>
    </w:p>
    <w:bookmarkEnd w:id="23"/>
    <w:bookmarkStart w:id="27" w:name="marketing-strategies-tactics"/>
    <w:p>
      <w:pPr>
        <w:pStyle w:val="Heading2"/>
      </w:pPr>
      <w:r>
        <w:t xml:space="preserve">Marketing Strategies &amp; Tactics</w:t>
      </w:r>
    </w:p>
    <w:p>
      <w:pPr>
        <w:pStyle w:val="FirstParagraph"/>
      </w:pPr>
      <w:r>
        <w:rPr>
          <w:iCs/>
          <w:i/>
        </w:rPr>
        <w:t xml:space="preserve">The heart of our Marketing Plan lies in transforming the pharmacist's role from transactional to transformative within United Arab Emirates Dubai's healthcare ecosystem.</w:t>
      </w:r>
    </w:p>
    <w:bookmarkStart w:id="24" w:name="digital-pharmacist-engagement-platform"/>
    <w:p>
      <w:pPr>
        <w:pStyle w:val="Heading3"/>
      </w:pPr>
      <w:r>
        <w:t xml:space="preserve">1. Digital Pharmacist Engagement Platform</w:t>
      </w:r>
    </w:p>
    <w:p>
      <w:pPr>
        <w:pStyle w:val="FirstParagraph"/>
      </w:pPr>
      <w:r>
        <w:t xml:space="preserve">We deploy a Sharia-compliant telehealth app co-developed with Dubai Health Authority, allowing patients to book video consultations with licensed pharmacists for medication reviews, side-effect management, and chronic disease support. Key features include:</w:t>
      </w:r>
    </w:p>
    <w:p>
      <w:pPr>
        <w:numPr>
          <w:ilvl w:val="0"/>
          <w:numId w:val="1003"/>
        </w:numPr>
        <w:pStyle w:val="Compact"/>
      </w:pPr>
      <w:r>
        <w:t xml:space="preserve">Arabic/English multilingual interface respecting UAE cultural norms</w:t>
      </w:r>
    </w:p>
    <w:p>
      <w:pPr>
        <w:numPr>
          <w:ilvl w:val="0"/>
          <w:numId w:val="1003"/>
        </w:numPr>
        <w:pStyle w:val="Compact"/>
      </w:pPr>
      <w:r>
        <w:t xml:space="preserve">Integration with Dubai's E-Health system for seamless prescription access</w:t>
      </w:r>
    </w:p>
    <w:p>
      <w:pPr>
        <w:numPr>
          <w:ilvl w:val="0"/>
          <w:numId w:val="1003"/>
        </w:numPr>
        <w:pStyle w:val="Compact"/>
      </w:pPr>
      <w:r>
        <w:t xml:space="preserve">Dedicated "Pharmacist Match" algorithm pairing patients with pharmacists by specialty (diabetes, geriatrics, etc.)</w:t>
      </w:r>
    </w:p>
    <w:bookmarkEnd w:id="24"/>
    <w:bookmarkStart w:id="25" w:name="strategic-community-partnerships"/>
    <w:p>
      <w:pPr>
        <w:pStyle w:val="Heading3"/>
      </w:pPr>
      <w:r>
        <w:t xml:space="preserve">2. Strategic Community Partnerships</w:t>
      </w:r>
    </w:p>
    <w:p>
      <w:pPr>
        <w:pStyle w:val="FirstParagraph"/>
      </w:pPr>
      <w:r>
        <w:t xml:space="preserve">Forge alliances with Dubai's key institutions:</w:t>
      </w:r>
    </w:p>
    <w:p>
      <w:pPr>
        <w:numPr>
          <w:ilvl w:val="0"/>
          <w:numId w:val="1004"/>
        </w:numPr>
        <w:pStyle w:val="Compact"/>
      </w:pPr>
      <w:r>
        <w:rPr>
          <w:bCs/>
          <w:b/>
        </w:rPr>
        <w:t xml:space="preserve">Dubai Health Authority:</w:t>
      </w:r>
      <w:r>
        <w:t xml:space="preserve"> </w:t>
      </w:r>
      <w:r>
        <w:t xml:space="preserve">Co-host free "Medication Safety Weeks" across community health centers, positioning our pharmacist team as public health advocates.</w:t>
      </w:r>
    </w:p>
    <w:p>
      <w:pPr>
        <w:numPr>
          <w:ilvl w:val="0"/>
          <w:numId w:val="1004"/>
        </w:numPr>
        <w:pStyle w:val="Compact"/>
      </w:pPr>
      <w:r>
        <w:rPr>
          <w:bCs/>
          <w:b/>
        </w:rPr>
        <w:t xml:space="preserve">Premium Residential Communities (e.g., Emirates Hills, Jumeirah):</w:t>
      </w:r>
      <w:r>
        <w:t xml:space="preserve"> </w:t>
      </w:r>
      <w:r>
        <w:t xml:space="preserve">Offer on-site pharmacist consultations for residents via partnerships with property management firms.</w:t>
      </w:r>
    </w:p>
    <w:p>
      <w:pPr>
        <w:numPr>
          <w:ilvl w:val="0"/>
          <w:numId w:val="1004"/>
        </w:numPr>
        <w:pStyle w:val="Compact"/>
      </w:pPr>
      <w:r>
        <w:rPr>
          <w:bCs/>
          <w:b/>
        </w:rPr>
        <w:t xml:space="preserve">Dubai Corporate Parks:</w:t>
      </w:r>
      <w:r>
        <w:t xml:space="preserve"> </w:t>
      </w:r>
      <w:r>
        <w:t xml:space="preserve">Embed pharmacist services within corporate wellness programs at locations like Dubai International Financial Centre (DIFC).</w:t>
      </w:r>
    </w:p>
    <w:bookmarkEnd w:id="25"/>
    <w:bookmarkStart w:id="26" w:name="X7d57deefa22a7f60590f57422825323a9e0ffdc"/>
    <w:p>
      <w:pPr>
        <w:pStyle w:val="Heading3"/>
      </w:pPr>
      <w:r>
        <w:t xml:space="preserve">3. Cultural Intelligence in Pharmacist Services</w:t>
      </w:r>
    </w:p>
    <w:p>
      <w:pPr>
        <w:pStyle w:val="FirstParagraph"/>
      </w:pPr>
      <w:r>
        <w:t xml:space="preserve">Crafting UAE-specific value through:</w:t>
      </w:r>
    </w:p>
    <w:p>
      <w:pPr>
        <w:numPr>
          <w:ilvl w:val="0"/>
          <w:numId w:val="1005"/>
        </w:numPr>
        <w:pStyle w:val="Compact"/>
      </w:pPr>
      <w:r>
        <w:rPr>
          <w:bCs/>
          <w:b/>
        </w:rPr>
        <w:t xml:space="preserve">Iftar &amp; Eid Health Campaigns:</w:t>
      </w:r>
      <w:r>
        <w:t xml:space="preserve"> </w:t>
      </w:r>
      <w:r>
        <w:t xml:space="preserve">Pharmacist-led nutrition counseling during Ramadan, addressing medication timing with fasting requirements.</w:t>
      </w:r>
    </w:p>
    <w:p>
      <w:pPr>
        <w:numPr>
          <w:ilvl w:val="0"/>
          <w:numId w:val="1005"/>
        </w:numPr>
        <w:pStyle w:val="Compact"/>
      </w:pPr>
      <w:r>
        <w:rPr>
          <w:bCs/>
          <w:b/>
        </w:rPr>
        <w:t xml:space="preserve">Gender-Sensitive Care:</w:t>
      </w:r>
      <w:r>
        <w:t xml:space="preserve"> </w:t>
      </w:r>
      <w:r>
        <w:t xml:space="preserve">Offering female pharmacists for women's health consultations in accordance with local customs.</w:t>
      </w:r>
    </w:p>
    <w:p>
      <w:pPr>
        <w:numPr>
          <w:ilvl w:val="0"/>
          <w:numId w:val="1005"/>
        </w:numPr>
        <w:pStyle w:val="Compact"/>
      </w:pPr>
      <w:r>
        <w:rPr>
          <w:bCs/>
          <w:b/>
        </w:rPr>
        <w:t xml:space="preserve">Dubai-Specific Health Literacy:</w:t>
      </w:r>
      <w:r>
        <w:t xml:space="preserve"> </w:t>
      </w:r>
      <w:r>
        <w:t xml:space="preserve">Developing Arabic-language infographics on managing diabetes—prevalent at 15.4% in Dubai—using locally relevant dietary examples (e.g., dates, camel milk).</w:t>
      </w:r>
    </w:p>
    <w:bookmarkEnd w:id="26"/>
    <w:bookmarkEnd w:id="27"/>
    <w:bookmarkStart w:id="28" w:name="budget-allocation"/>
    <w:p>
      <w:pPr>
        <w:pStyle w:val="Heading2"/>
      </w:pPr>
      <w:r>
        <w:t xml:space="preserve">Budget Allocation</w:t>
      </w:r>
    </w:p>
    <w:p>
      <w:pPr>
        <w:pStyle w:val="FirstParagraph"/>
      </w:pPr>
      <w:r>
        <w:t xml:space="preserve">Total investment: AED 1.8 million (Year 1)</w:t>
      </w:r>
    </w:p>
    <w:p>
      <w:pPr>
        <w:numPr>
          <w:ilvl w:val="0"/>
          <w:numId w:val="1006"/>
        </w:numPr>
        <w:pStyle w:val="Compact"/>
      </w:pPr>
      <w:r>
        <w:t xml:space="preserve">45% Digital Platform Development &amp; Tech Integration (Dubai Health Authority API compliance, app localization)</w:t>
      </w:r>
    </w:p>
    <w:p>
      <w:pPr>
        <w:numPr>
          <w:ilvl w:val="0"/>
          <w:numId w:val="1006"/>
        </w:numPr>
        <w:pStyle w:val="Compact"/>
      </w:pPr>
      <w:r>
        <w:t xml:space="preserve">30% Community Engagement &amp; Partnerships (health camps, corporate agreements)</w:t>
      </w:r>
    </w:p>
    <w:p>
      <w:pPr>
        <w:numPr>
          <w:ilvl w:val="0"/>
          <w:numId w:val="1006"/>
        </w:numPr>
        <w:pStyle w:val="Compact"/>
      </w:pPr>
      <w:r>
        <w:t xml:space="preserve">15% Cultural Content Creation (Arabic medical videos, Ramadan campaign assets)</w:t>
      </w:r>
    </w:p>
    <w:p>
      <w:pPr>
        <w:numPr>
          <w:ilvl w:val="0"/>
          <w:numId w:val="1006"/>
        </w:numPr>
        <w:pStyle w:val="Compact"/>
      </w:pPr>
      <w:r>
        <w:t xml:space="preserve">10% Pharmacist Training (UAE-specific clinical protocols, cultural competency modules)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digital platform MVP; sign MoU with Dubai Health Authority; deploy pilot in Jumeirah community center.</w:t>
            </w:r>
          </w:p>
        </w:tc>
      </w:tr>
      <w:tr>
        <w:tc>
          <w:tcPr/>
          <w:p>
            <w:pPr>
              <w:pStyle w:val="Compact"/>
              <w:jc w:val="left"/>
            </w:pPr>
            <w:r>
              <w:t xml:space="preserve">Q3 2024</w:t>
            </w:r>
          </w:p>
        </w:tc>
        <w:tc>
          <w:tcPr/>
          <w:p>
            <w:pPr>
              <w:pStyle w:val="Compact"/>
              <w:jc w:val="left"/>
            </w:pPr>
            <w:r>
              <w:t xml:space="preserve">Roll out corporate wellness partnerships with 5 DIFC firms; initiate Ramadan health campaign with pharmacist-led social media content.</w:t>
            </w:r>
          </w:p>
        </w:tc>
      </w:tr>
      <w:tr>
        <w:tc>
          <w:tcPr/>
          <w:p>
            <w:pPr>
              <w:pStyle w:val="Compact"/>
              <w:jc w:val="left"/>
            </w:pPr>
            <w:r>
              <w:t xml:space="preserve">Q1 2025</w:t>
            </w:r>
          </w:p>
        </w:tc>
        <w:tc>
          <w:tcPr/>
          <w:p>
            <w:pPr>
              <w:pStyle w:val="Compact"/>
              <w:jc w:val="left"/>
            </w:pPr>
            <w:r>
              <w:t xml:space="preserve">Scale community health camps to 8 Dubai neighborhoods; introduce gender-specific consultation options.</w:t>
            </w:r>
          </w:p>
        </w:tc>
      </w:tr>
      <w:tr>
        <w:tc>
          <w:tcPr/>
          <w:p>
            <w:pPr>
              <w:pStyle w:val="Compact"/>
              <w:jc w:val="left"/>
            </w:pPr>
            <w:r>
              <w:t xml:space="preserve">Q4 2025</w:t>
            </w:r>
          </w:p>
        </w:tc>
        <w:tc>
          <w:tcPr/>
          <w:p>
            <w:pPr>
              <w:pStyle w:val="Compact"/>
              <w:jc w:val="left"/>
            </w:pPr>
            <w:r>
              <w:t xml:space="preserve">Measure &amp; Optimize: Achieve 3,000 app users; secure 15 corporate contracts; conduct patient satisfaction survey with pharmacist feedback loop.</w:t>
            </w:r>
          </w:p>
        </w:tc>
      </w:tr>
    </w:tbl>
    <w:bookmarkEnd w:id="29"/>
    <w:bookmarkStart w:id="30" w:name="evaluation-framework"/>
    <w:p>
      <w:pPr>
        <w:pStyle w:val="Heading2"/>
      </w:pPr>
      <w:r>
        <w:t xml:space="preserve">Evaluation Framework</w:t>
      </w:r>
    </w:p>
    <w:p>
      <w:pPr>
        <w:pStyle w:val="FirstParagraph"/>
      </w:pPr>
      <w:r>
        <w:t xml:space="preserve">Success is measured through UAE-specific KPIs:</w:t>
      </w:r>
    </w:p>
    <w:p>
      <w:pPr>
        <w:numPr>
          <w:ilvl w:val="0"/>
          <w:numId w:val="1007"/>
        </w:numPr>
        <w:pStyle w:val="Compact"/>
      </w:pPr>
      <w:r>
        <w:rPr>
          <w:bCs/>
          <w:b/>
        </w:rPr>
        <w:t xml:space="preserve">Patient Retention Rate:</w:t>
      </w:r>
      <w:r>
        <w:t xml:space="preserve"> </w:t>
      </w:r>
      <w:r>
        <w:t xml:space="preserve">Target 75% (vs industry average of 48%) – tracking pharmacist engagement depth, not just refill rates.</w:t>
      </w:r>
    </w:p>
    <w:p>
      <w:pPr>
        <w:numPr>
          <w:ilvl w:val="0"/>
          <w:numId w:val="1007"/>
        </w:numPr>
        <w:pStyle w:val="Compact"/>
      </w:pPr>
      <w:r>
        <w:rPr>
          <w:bCs/>
          <w:b/>
        </w:rPr>
        <w:t xml:space="preserve">Cultural Relevance Index:</w:t>
      </w:r>
      <w:r>
        <w:t xml:space="preserve"> </w:t>
      </w:r>
      <w:r>
        <w:t xml:space="preserve">Measured via patient surveys on "comfort with pharmacist communication" (target: 90% positive).</w:t>
      </w:r>
    </w:p>
    <w:p>
      <w:pPr>
        <w:numPr>
          <w:ilvl w:val="0"/>
          <w:numId w:val="1007"/>
        </w:numPr>
        <w:pStyle w:val="Compact"/>
      </w:pPr>
      <w:r>
        <w:rPr>
          <w:bCs/>
          <w:b/>
        </w:rPr>
        <w:t xml:space="preserve">Community Impact Score:</w:t>
      </w:r>
      <w:r>
        <w:t xml:space="preserve"> </w:t>
      </w:r>
      <w:r>
        <w:t xml:space="preserve">Number of Dubai residents served through free pharmacist-led health initiatives (target: 2,500 annually).</w:t>
      </w:r>
    </w:p>
    <w:bookmarkEnd w:id="30"/>
    <w:bookmarkStart w:id="31" w:name="conclusion"/>
    <w:p>
      <w:pPr>
        <w:pStyle w:val="Heading2"/>
      </w:pPr>
      <w:r>
        <w:t xml:space="preserve">Conclusion</w:t>
      </w:r>
    </w:p>
    <w:p>
      <w:pPr>
        <w:pStyle w:val="FirstParagraph"/>
      </w:pPr>
      <w:r>
        <w:t xml:space="preserve">This Marketing Plan redefines the role of the pharmacist in United Arab Emirates Dubai by embedding clinical expertise within community and digital ecosystems. Unlike traditional pharmacy marketing, we position our pharmacist team as proactive health navigators who understand Dubai’s unique demographic needs – from Ramadan medication protocols to corporate wellness demands. By making "pharmacist" synonymous with trusted, culturally intelligent healthcare partners, this plan ensures sustainable growth while advancing Dubai's vision of world-class public health. The strategic focus on digital integration and community co-creation will establish our pharmacist services as indispensable within the United Arab Emirates Dubai healthcare fabric, delivering both commercial success and meaningful patient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United Arab Emirates Dubai</dc:title>
  <dc:creator/>
  <dc:language>en</dc:language>
  <cp:keywords/>
  <dcterms:created xsi:type="dcterms:W3CDTF">2026-07-23T20:54:41Z</dcterms:created>
  <dcterms:modified xsi:type="dcterms:W3CDTF">2026-07-23T20:54:41Z</dcterms:modified>
</cp:coreProperties>
</file>

<file path=docProps/custom.xml><?xml version="1.0" encoding="utf-8"?>
<Properties xmlns="http://schemas.openxmlformats.org/officeDocument/2006/custom-properties" xmlns:vt="http://schemas.openxmlformats.org/officeDocument/2006/docPropsVTypes"/>
</file>