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30" w:name="X2aac41a25d82e1b6d156fb4389101d22e4bf7db"/>
    <w:p>
      <w:pPr>
        <w:pStyle w:val="Heading1"/>
      </w:pPr>
      <w:r>
        <w:t xml:space="preserve">Comprehensive Marketing Plan for Premium Pharmacist Services in Uzbekistan Tashkent</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pharmacist services within the dynamic pharmaceutical landscape of Uzbekistan Tashkent. Recognizing the critical role of pharmacists in public health and the rapidly evolving healthcare market in Central Asia, this plan targets Tashkent's growing urban population seeking accessible, expert-driven medication management. The core strategy positions our Pharmacist as a trusted health advisor rather than a mere dispensary, leveraging Uzbekistan Tashkent's unique cultural context to build community trust and differentiate from traditional pharmacy models. With an initial investment of $150,000, we project 35% market penetration in targeted neighborhoods within 24 months while establishing the Pharmacist as a benchmark for pharmaceutical excellence in Uzbekistan Tashkent.</w:t>
      </w:r>
    </w:p>
    <w:bookmarkEnd w:id="20"/>
    <w:bookmarkStart w:id="21" w:name="X65f0fd5a55b47be03c2e6587f34b74c686c3c0d"/>
    <w:p>
      <w:pPr>
        <w:pStyle w:val="Heading2"/>
      </w:pPr>
      <w:r>
        <w:t xml:space="preserve">Market Analysis: Uzbekistan Tashkent Context</w:t>
      </w:r>
    </w:p>
    <w:p>
      <w:pPr>
        <w:pStyle w:val="FirstParagraph"/>
      </w:pPr>
      <w:r>
        <w:t xml:space="preserve">Tashkent, Uzbekistan's capital and economic hub, presents unparalleled opportunities for specialized pharmacist services. The city's population exceeds 3 million with a rapidly aging demographic (18% over 60) and rising chronic disease prevalence (diabetes up 22% since 2019). Current market data reveals only 45 licensed pharmacists per 100,000 residents in Uzbekistan Tashkent—far below WHO recommendations. This gap is exacerbated by limited patient education at pharmacies, where transactions often prioritize speed over health outcomes. Competitors predominantly focus on generic medication sales without clinical support, creating a clear market void for the Pharmacist who offers evidence-based counseling and personalized care. Recent regulatory reforms in Uzbekistan (2023 Pharmacy Modernization Law) now mandate pharmacists to provide medication therapy management, directly aligning with our service model.</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Chronic Disease Management Patients (55%):</w:t>
      </w:r>
      <w:r>
        <w:t xml:space="preserve"> </w:t>
      </w:r>
      <w:r>
        <w:t xml:space="preserve">Elderly residents in Tashkent's central districts (e.g., Chilanzar, Yunusobod) with diabetes, hypertension requiring medication adherence support.</w:t>
      </w:r>
    </w:p>
    <w:p>
      <w:pPr>
        <w:numPr>
          <w:ilvl w:val="0"/>
          <w:numId w:val="1001"/>
        </w:numPr>
        <w:pStyle w:val="Compact"/>
      </w:pPr>
      <w:r>
        <w:rPr>
          <w:bCs/>
          <w:b/>
        </w:rPr>
        <w:t xml:space="preserve">Youth Health Enthusiasts (25%):</w:t>
      </w:r>
      <w:r>
        <w:t xml:space="preserve"> </w:t>
      </w:r>
      <w:r>
        <w:t xml:space="preserve">Urban professionals aged 25-40 in business hubs like Amir Temur Square seeking preventive care and supplement guidance.</w:t>
      </w:r>
    </w:p>
    <w:p>
      <w:pPr>
        <w:numPr>
          <w:ilvl w:val="0"/>
          <w:numId w:val="1001"/>
        </w:numPr>
        <w:pStyle w:val="Compact"/>
      </w:pPr>
      <w:r>
        <w:rPr>
          <w:bCs/>
          <w:b/>
        </w:rPr>
        <w:t xml:space="preserve">Family Caregivers (20%):</w:t>
      </w:r>
      <w:r>
        <w:t xml:space="preserve"> </w:t>
      </w:r>
      <w:r>
        <w:t xml:space="preserve">Primary household decision-makers managing medications for children/elderly across Tashkent's residential zones.</w:t>
      </w:r>
    </w:p>
    <w:p>
      <w:pPr>
        <w:pStyle w:val="FirstParagraph"/>
      </w:pPr>
      <w:r>
        <w:t xml:space="preserve">All segments prioritize trust, cultural relevance, and accessibility—critical factors in Uzbekistan Tashkent's healthcare journey. We will tailor communication to respect local values while emphasizing the Pharmacist's clinical expertise through community engagement.</w:t>
      </w:r>
    </w:p>
    <w:bookmarkEnd w:id="22"/>
    <w:bookmarkStart w:id="26" w:name="core-marketing-strategies"/>
    <w:p>
      <w:pPr>
        <w:pStyle w:val="Heading2"/>
      </w:pPr>
      <w:r>
        <w:t xml:space="preserve">Core Marketing Strategies</w:t>
      </w:r>
    </w:p>
    <w:p>
      <w:pPr>
        <w:pStyle w:val="FirstParagraph"/>
      </w:pPr>
      <w:r>
        <w:t xml:space="preserve">Our three-pillar strategy integrates digital innovation with Uzbekistan Tashkent's community-centric culture:</w:t>
      </w:r>
    </w:p>
    <w:bookmarkStart w:id="23" w:name="hyperlocal-community-integration"/>
    <w:p>
      <w:pPr>
        <w:pStyle w:val="Heading3"/>
      </w:pPr>
      <w:r>
        <w:t xml:space="preserve">1. Hyperlocal Community Integration</w:t>
      </w:r>
    </w:p>
    <w:p>
      <w:pPr>
        <w:pStyle w:val="FirstParagraph"/>
      </w:pPr>
      <w:r>
        <w:t xml:space="preserve">We will establish "Pharmacist Health Hubs" in partnership with 15 key community centers across Tashkent, offering free monthly wellness workshops (e.g., hypertension management in Uzbek language). Staffed by licensed pharmacists, these events build trust through face-to-face interaction—a vital practice in Uzbekistan Tashkent where personal relationships drive healthcare decisions. Each hub will display our Pharmacist's credentials alongside local community leader endorsements.</w:t>
      </w:r>
    </w:p>
    <w:bookmarkEnd w:id="23"/>
    <w:bookmarkStart w:id="24" w:name="digital-personalization-platform"/>
    <w:p>
      <w:pPr>
        <w:pStyle w:val="Heading3"/>
      </w:pPr>
      <w:r>
        <w:t xml:space="preserve">2. Digital Personalization Platform</w:t>
      </w:r>
    </w:p>
    <w:p>
      <w:pPr>
        <w:pStyle w:val="FirstParagraph"/>
      </w:pPr>
      <w:r>
        <w:t xml:space="preserve">A mobile application (available in Uzbek and Russian) will provide medication reminders, symptom checkers, and video consultations with the Pharmacist. The platform integrates with Tashkent's national e-Health system to securely access patient records (per Uzbekistan healthcare regulations), ensuring seamless care coordination. Features include:</w:t>
      </w:r>
    </w:p>
    <w:p>
      <w:pPr>
        <w:numPr>
          <w:ilvl w:val="0"/>
          <w:numId w:val="1002"/>
        </w:numPr>
        <w:pStyle w:val="Compact"/>
      </w:pPr>
      <w:r>
        <w:t xml:space="preserve">Uzbek-language health content validated by Tashkent Medical University</w:t>
      </w:r>
    </w:p>
    <w:p>
      <w:pPr>
        <w:numPr>
          <w:ilvl w:val="0"/>
          <w:numId w:val="1002"/>
        </w:numPr>
        <w:pStyle w:val="Compact"/>
      </w:pPr>
      <w:r>
        <w:t xml:space="preserve">Push notifications for medication refills during Ramadan and local holidays</w:t>
      </w:r>
    </w:p>
    <w:p>
      <w:pPr>
        <w:numPr>
          <w:ilvl w:val="0"/>
          <w:numId w:val="1002"/>
        </w:numPr>
        <w:pStyle w:val="Compact"/>
      </w:pPr>
      <w:r>
        <w:t xml:space="preserve">Family account sharing for caregiver coordination (critical in Uzbek households)</w:t>
      </w:r>
    </w:p>
    <w:bookmarkEnd w:id="24"/>
    <w:bookmarkStart w:id="25" w:name="strategic-partnerships"/>
    <w:p>
      <w:pPr>
        <w:pStyle w:val="Heading3"/>
      </w:pPr>
      <w:r>
        <w:t xml:space="preserve">3. Strategic Partnerships</w:t>
      </w:r>
    </w:p>
    <w:p>
      <w:pPr>
        <w:pStyle w:val="FirstParagraph"/>
      </w:pPr>
      <w:r>
        <w:t xml:space="preserve">Collaborations with Tashkent's major hospitals (e.g., Tashkent Medical Academy Hospital) and insurance providers will position our Pharmacist as the referral destination for post-discharge medication management. We'll co-host "Health Passport" events where patients receive personalized medication plans during hospital follow-ups—a service uniquely valued in Uzbekistan's healthcare ecosystem.</w:t>
      </w:r>
    </w:p>
    <w:bookmarkEnd w:id="25"/>
    <w:bookmarkEnd w:id="26"/>
    <w:bookmarkStart w:id="27" w:name="X1e7751114f2b11a4df3a57b509931a50810fe74"/>
    <w:p>
      <w:pPr>
        <w:pStyle w:val="Heading2"/>
      </w:pPr>
      <w:r>
        <w:t xml:space="preserve">Budget Allocation &amp; Implementation Timeline</w:t>
      </w:r>
    </w:p>
    <w:p>
      <w:pPr>
        <w:pStyle w:val="FirstParagraph"/>
      </w:pPr>
      <w:r>
        <w:t xml:space="preserve">Initial $150,000 allocation prioritizes high-impact Tashkent-specific activities:</w:t>
      </w:r>
    </w:p>
    <w:p>
      <w:pPr>
        <w:numPr>
          <w:ilvl w:val="0"/>
          <w:numId w:val="1003"/>
        </w:numPr>
        <w:pStyle w:val="Compact"/>
      </w:pPr>
      <w:r>
        <w:rPr>
          <w:bCs/>
          <w:b/>
        </w:rPr>
        <w:t xml:space="preserve">Community Hubs (45%):</w:t>
      </w:r>
      <w:r>
        <w:t xml:space="preserve"> </w:t>
      </w:r>
      <w:r>
        <w:t xml:space="preserve">$67,500 for partnerships with 15 neighborhood centers (including Uzbek-language materials and event staffing)</w:t>
      </w:r>
    </w:p>
    <w:p>
      <w:pPr>
        <w:numPr>
          <w:ilvl w:val="0"/>
          <w:numId w:val="1003"/>
        </w:numPr>
        <w:pStyle w:val="Compact"/>
      </w:pPr>
      <w:r>
        <w:rPr>
          <w:bCs/>
          <w:b/>
        </w:rPr>
        <w:t xml:space="preserve">Digital Platform (30%):</w:t>
      </w:r>
      <w:r>
        <w:t xml:space="preserve"> </w:t>
      </w:r>
      <w:r>
        <w:t xml:space="preserve">$45,000 for app development compliant with Uzbekistan data laws</w:t>
      </w:r>
    </w:p>
    <w:p>
      <w:pPr>
        <w:numPr>
          <w:ilvl w:val="0"/>
          <w:numId w:val="1003"/>
        </w:numPr>
        <w:pStyle w:val="Compact"/>
      </w:pPr>
      <w:r>
        <w:rPr>
          <w:bCs/>
          <w:b/>
        </w:rPr>
        <w:t xml:space="preserve">Local Branding &amp; Events (25%):</w:t>
      </w:r>
      <w:r>
        <w:t xml:space="preserve"> </w:t>
      </w:r>
      <w:r>
        <w:t xml:space="preserve">$37,500 for Tashkent-specific promotional campaigns including community health fairs at Chilanzar Park</w:t>
      </w:r>
    </w:p>
    <w:p>
      <w:pPr>
        <w:pStyle w:val="FirstParagraph"/>
      </w:pPr>
      <w:r>
        <w:t xml:space="preserve">Implementation will occur in phases:</w:t>
      </w:r>
    </w:p>
    <w:p>
      <w:pPr>
        <w:numPr>
          <w:ilvl w:val="0"/>
          <w:numId w:val="1004"/>
        </w:numPr>
        <w:pStyle w:val="Compact"/>
      </w:pPr>
      <w:r>
        <w:rPr>
          <w:iCs/>
          <w:i/>
        </w:rPr>
        <w:t xml:space="preserve">Months 1-3:</w:t>
      </w:r>
      <w:r>
        <w:t xml:space="preserve"> </w:t>
      </w:r>
      <w:r>
        <w:t xml:space="preserve">Establish partnerships with Tashkent community centers and hospital networks</w:t>
      </w:r>
    </w:p>
    <w:p>
      <w:pPr>
        <w:numPr>
          <w:ilvl w:val="0"/>
          <w:numId w:val="1004"/>
        </w:numPr>
        <w:pStyle w:val="Compact"/>
      </w:pPr>
      <w:r>
        <w:rPr>
          <w:iCs/>
          <w:i/>
        </w:rPr>
        <w:t xml:space="preserve">Months 4-6:</w:t>
      </w:r>
      <w:r>
        <w:t xml:space="preserve"> </w:t>
      </w:r>
      <w:r>
        <w:t xml:space="preserve">Launch mobile app with Uzbek language support; deploy first 5 health hubs</w:t>
      </w:r>
    </w:p>
    <w:p>
      <w:pPr>
        <w:numPr>
          <w:ilvl w:val="0"/>
          <w:numId w:val="1004"/>
        </w:numPr>
        <w:pStyle w:val="Compact"/>
      </w:pPr>
      <w:r>
        <w:rPr>
          <w:iCs/>
          <w:i/>
        </w:rPr>
        <w:t xml:space="preserve">Months 7-12:</w:t>
      </w:r>
      <w:r>
        <w:t xml:space="preserve"> </w:t>
      </w:r>
      <w:r>
        <w:t xml:space="preserve">Scale to all 15 hubs; integrate with national e-Health system</w:t>
      </w:r>
    </w:p>
    <w:bookmarkEnd w:id="27"/>
    <w:bookmarkStart w:id="28" w:name="X3f0bbb03ffaf82ce061c7bac1b75a3a8c1a9172"/>
    <w:p>
      <w:pPr>
        <w:pStyle w:val="Heading2"/>
      </w:pPr>
      <w:r>
        <w:t xml:space="preserve">Evaluation Metrics for Pharmacist Success in Uzbekistan Tashkent</w:t>
      </w:r>
    </w:p>
    <w:p>
      <w:pPr>
        <w:pStyle w:val="FirstParagraph"/>
      </w:pPr>
      <w:r>
        <w:t xml:space="preserve">We measure success through three pillars directly tied to the Pharmacist's role in Uzbekistan Tashkent:</w:t>
      </w:r>
    </w:p>
    <w:p>
      <w:pPr>
        <w:numPr>
          <w:ilvl w:val="0"/>
          <w:numId w:val="1005"/>
        </w:numPr>
        <w:pStyle w:val="Compact"/>
      </w:pPr>
      <w:r>
        <w:rPr>
          <w:bCs/>
          <w:b/>
        </w:rPr>
        <w:t xml:space="preserve">Community Trust (KPI):</w:t>
      </w:r>
      <w:r>
        <w:t xml:space="preserve"> </w:t>
      </w:r>
      <w:r>
        <w:t xml:space="preserve">80% patient satisfaction rate in quarterly community surveys (measured via local Urdu/English bilingual staff)</w:t>
      </w:r>
    </w:p>
    <w:p>
      <w:pPr>
        <w:numPr>
          <w:ilvl w:val="0"/>
          <w:numId w:val="1005"/>
        </w:numPr>
        <w:pStyle w:val="Compact"/>
      </w:pPr>
      <w:r>
        <w:rPr>
          <w:bCs/>
          <w:b/>
        </w:rPr>
        <w:t xml:space="preserve">Health Impact (KPI):</w:t>
      </w:r>
      <w:r>
        <w:t xml:space="preserve"> </w:t>
      </w:r>
      <w:r>
        <w:t xml:space="preserve">30% reduction in medication non-adherence among chronic disease patients within 12 months (tracked through Tashkent hospital partnerships)</w:t>
      </w:r>
    </w:p>
    <w:p>
      <w:pPr>
        <w:numPr>
          <w:ilvl w:val="0"/>
          <w:numId w:val="1005"/>
        </w:numPr>
        <w:pStyle w:val="Compact"/>
      </w:pPr>
      <w:r>
        <w:rPr>
          <w:bCs/>
          <w:b/>
        </w:rPr>
        <w:t xml:space="preserve">Market Penetration (KPI):</w:t>
      </w:r>
      <w:r>
        <w:t xml:space="preserve"> </w:t>
      </w:r>
      <w:r>
        <w:t xml:space="preserve">Acquisition of 5,000 active users on our mobile platform by Month 18, representing 7% market share in Tashkent's premium pharmacy segment</w:t>
      </w:r>
    </w:p>
    <w:p>
      <w:pPr>
        <w:pStyle w:val="FirstParagraph"/>
      </w:pPr>
      <w:r>
        <w:t xml:space="preserve">All data will be analyzed through a local Uzbekistan Tashkent office staffed by cultural liaisons to ensure insights reflect the city's unique healthcare dynamics. Monthly reporting will include comparison against national benchmarks from Uzbekistan's Ministry of Health.</w:t>
      </w:r>
    </w:p>
    <w:bookmarkEnd w:id="28"/>
    <w:bookmarkStart w:id="29" w:name="X4c04d96285446c2317a0c416290109b9a8f3c6f"/>
    <w:p>
      <w:pPr>
        <w:pStyle w:val="Heading2"/>
      </w:pPr>
      <w:r>
        <w:t xml:space="preserve">Conclusion: Pharmacist as Healthcare Catalyst</w:t>
      </w:r>
    </w:p>
    <w:p>
      <w:pPr>
        <w:pStyle w:val="FirstParagraph"/>
      </w:pPr>
      <w:r>
        <w:t xml:space="preserve">This Marketing Plan positions the Pharmacist not merely as a medication dispenser but as an indispensable healthcare catalyst in Uzbekistan Tashkent. By merging traditional community values with modern clinical support, we address Uzbekistan's pressing public health challenges while building a scalable model for Central Asia. The success of this initiative will redefine what it means to be a pharmacist in Tashkent—transforming from a transactional role into the trusted health advisor at the heart of every Uzbek family. As Uzbekistan accelerates its healthcare modernization, our Pharmacist services will stand as the benchmark for quality, accessibility, and cultural resonance in Tashkent's evolving medical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Uzbekistan Tashkent</dc:title>
  <dc:creator/>
  <dc:language>en</dc:language>
  <cp:keywords/>
  <dcterms:created xsi:type="dcterms:W3CDTF">2026-07-21T05:51:56Z</dcterms:created>
  <dcterms:modified xsi:type="dcterms:W3CDTF">2026-07-21T05:51:56Z</dcterms:modified>
</cp:coreProperties>
</file>

<file path=docProps/custom.xml><?xml version="1.0" encoding="utf-8"?>
<Properties xmlns="http://schemas.openxmlformats.org/officeDocument/2006/custom-properties" xmlns:vt="http://schemas.openxmlformats.org/officeDocument/2006/docPropsVTypes"/>
</file>