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Independent</w:t>
      </w:r>
      <w:r>
        <w:t xml:space="preserve"> </w:t>
      </w:r>
      <w:r>
        <w:t xml:space="preserve">Physicist</w:t>
      </w:r>
      <w:r>
        <w:t xml:space="preserve"> </w:t>
      </w:r>
      <w:r>
        <w:t xml:space="preserve">-</w:t>
      </w:r>
      <w:r>
        <w:t xml:space="preserve"> </w:t>
      </w:r>
      <w:r>
        <w:t xml:space="preserve">Australia</w:t>
      </w:r>
      <w:r>
        <w:t xml:space="preserve"> </w:t>
      </w:r>
      <w:r>
        <w:t xml:space="preserve">Melbourne</w:t>
      </w:r>
    </w:p>
    <w:bookmarkStart w:id="32" w:name="X29b222bf7fe0fe778f2c68b9e945dddd8a64c36"/>
    <w:p>
      <w:pPr>
        <w:pStyle w:val="Heading1"/>
      </w:pPr>
      <w:r>
        <w:t xml:space="preserve">Comprehensive Marketing Plan for an Independent Physicist in Australia Melbourne</w:t>
      </w:r>
    </w:p>
    <w:bookmarkStart w:id="20" w:name="executive-summary"/>
    <w:p>
      <w:pPr>
        <w:pStyle w:val="Heading2"/>
      </w:pPr>
      <w:r>
        <w:t xml:space="preserve">Executive Summary</w:t>
      </w:r>
    </w:p>
    <w:p>
      <w:pPr>
        <w:pStyle w:val="FirstParagraph"/>
      </w:pPr>
      <w:r>
        <w:t xml:space="preserve">This Marketing Plan outlines a strategic roadmap for an independent physicist to establish and grow a specialized consultancy business within Melbourne, Australia. The plan addresses the unique demands of the Australian market, leveraging Melbourne's status as a scientific and technological hub. By targeting key sectors including renewable energy, medical physics, quantum computing research institutions, and STEM education providers across Victoria, this plan positions the Physicist as an indispensable expert. With Australia's increasing investment in science innovation—particularly in Melbourne's "Innovation District" around the University of Melbourne—the targeted approach ensures maximum visibility and client acquisition within a competitive landscape.</w:t>
      </w:r>
    </w:p>
    <w:bookmarkEnd w:id="20"/>
    <w:bookmarkStart w:id="21" w:name="X61224c411dcb24429263b44849de966d3b27b4b"/>
    <w:p>
      <w:pPr>
        <w:pStyle w:val="Heading2"/>
      </w:pPr>
      <w:r>
        <w:t xml:space="preserve">Situation Analysis: Physics Market in Australia Melbourne</w:t>
      </w:r>
    </w:p>
    <w:p>
      <w:pPr>
        <w:pStyle w:val="FirstParagraph"/>
      </w:pPr>
      <w:r>
        <w:t xml:space="preserve">Melbourne represents a critical epicenter for physics-related opportunities in Australia. Home to over 40% of the nation's scientific research institutions, including the Australian Synchrotron and CSIRO facilities, Melbourne offers unparalleled access to industries requiring advanced physics expertise. Current market gaps include: (1) Limited specialized consultants in applied quantum technologies; (2) High demand for physics educators in secondary schools aligning with Australia's STEM strategy; and (3) Growing need for energy transition specialists as Victoria targets 95% renewable grid by 2035. A recent Victorian Government report noted a 22% annual increase in physics-related job postings since 2021, validating the strategic opportunity for this independent Physicist to capture market share.</w:t>
      </w:r>
    </w:p>
    <w:bookmarkEnd w:id="21"/>
    <w:bookmarkStart w:id="22" w:name="target-audience-segmentation"/>
    <w:p>
      <w:pPr>
        <w:pStyle w:val="Heading2"/>
      </w:pPr>
      <w:r>
        <w:t xml:space="preserve">Target Audience Segmentation</w:t>
      </w:r>
    </w:p>
    <w:p>
      <w:pPr>
        <w:pStyle w:val="FirstParagraph"/>
      </w:pPr>
      <w:r>
        <w:t xml:space="preserve">The plan identifies three priority segments within Australia Melbourne:</w:t>
      </w:r>
    </w:p>
    <w:p>
      <w:pPr>
        <w:numPr>
          <w:ilvl w:val="0"/>
          <w:numId w:val="1001"/>
        </w:numPr>
        <w:pStyle w:val="Compact"/>
      </w:pPr>
      <w:r>
        <w:rPr>
          <w:bCs/>
          <w:b/>
        </w:rPr>
        <w:t xml:space="preserve">Research Institutions:</w:t>
      </w:r>
      <w:r>
        <w:t xml:space="preserve"> </w:t>
      </w:r>
      <w:r>
        <w:t xml:space="preserve">CSIRO, Monash University Physics Department, and Parkville biomedical research clusters seeking contract physicists for specialized projects.</w:t>
      </w:r>
    </w:p>
    <w:p>
      <w:pPr>
        <w:numPr>
          <w:ilvl w:val="0"/>
          <w:numId w:val="1001"/>
        </w:numPr>
        <w:pStyle w:val="Compact"/>
      </w:pPr>
      <w:r>
        <w:rPr>
          <w:bCs/>
          <w:b/>
        </w:rPr>
        <w:t xml:space="preserve">Educational Providers:</w:t>
      </w:r>
      <w:r>
        <w:t xml:space="preserve"> </w:t>
      </w:r>
      <w:r>
        <w:t xml:space="preserve">Schools and TAFEs implementing the Australian Curriculum's new physics standards requiring certified educators.</w:t>
      </w:r>
    </w:p>
    <w:p>
      <w:pPr>
        <w:numPr>
          <w:ilvl w:val="0"/>
          <w:numId w:val="1001"/>
        </w:numPr>
        <w:pStyle w:val="Compact"/>
      </w:pPr>
      <w:r>
        <w:rPr>
          <w:bCs/>
          <w:b/>
        </w:rPr>
        <w:t xml:space="preserve">Industry Clients:</w:t>
      </w:r>
      <w:r>
        <w:t xml:space="preserve"> </w:t>
      </w:r>
      <w:r>
        <w:t xml:space="preserve">Renewable energy firms (e.g., Snowy Hydro), medical device manufacturers, and tech startups needing applied physics solutions for product development.</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Awareness:</w:t>
      </w:r>
      <w:r>
        <w:t xml:space="preserve"> </w:t>
      </w:r>
      <w:r>
        <w:t xml:space="preserve">Achieve 85% recognition among target Melbourne institutions within 10 months through strategic outreach.</w:t>
      </w:r>
    </w:p>
    <w:p>
      <w:pPr>
        <w:numPr>
          <w:ilvl w:val="0"/>
          <w:numId w:val="1002"/>
        </w:numPr>
        <w:pStyle w:val="Compact"/>
      </w:pPr>
      <w:r>
        <w:rPr>
          <w:bCs/>
          <w:b/>
        </w:rPr>
        <w:t xml:space="preserve">Client Acquisition:</w:t>
      </w:r>
      <w:r>
        <w:t xml:space="preserve"> </w:t>
      </w:r>
      <w:r>
        <w:t xml:space="preserve">Secure 15 paid engagements across all three segments by Month 9 (e.g., 5 research contracts, 6 school partnerships, 4 industry projects).</w:t>
      </w:r>
    </w:p>
    <w:bookmarkEnd w:id="23"/>
    <w:bookmarkStart w:id="27" w:name="core-marketing-strategies"/>
    <w:p>
      <w:pPr>
        <w:pStyle w:val="Heading2"/>
      </w:pPr>
      <w:r>
        <w:t xml:space="preserve">Core Marketing Strategies</w:t>
      </w:r>
    </w:p>
    <w:p>
      <w:pPr>
        <w:pStyle w:val="FirstParagraph"/>
      </w:pPr>
      <w:r>
        <w:t xml:space="preserve">The strategy integrates digital precision with Melbourne's local business culture. Key tactics include:</w:t>
      </w:r>
    </w:p>
    <w:bookmarkStart w:id="24" w:name="digital-presence-optimization"/>
    <w:p>
      <w:pPr>
        <w:pStyle w:val="Heading3"/>
      </w:pPr>
      <w:r>
        <w:t xml:space="preserve">1. Digital Presence Optimization</w:t>
      </w:r>
    </w:p>
    <w:p>
      <w:pPr>
        <w:pStyle w:val="FirstParagraph"/>
      </w:pPr>
      <w:r>
        <w:t xml:space="preserve">A custom website featuring location-specific content ("Physics Solutions for Melbourne Businesses") will prioritize SEO terms like "quantum physicist Melbourne," "medical physics consultant Australia," and "STEM educator Victoria." Google Ads campaigns targeting Melbourne ZIP codes (e.g., 3000-3122) will drive qualified traffic. Monthly LinkedIn content will address local challenges—such as case studies on optimizing solar farms in Melbourne's climate or reducing EMI in medical devices for Victorian hospitals.</w:t>
      </w:r>
    </w:p>
    <w:bookmarkEnd w:id="24"/>
    <w:bookmarkStart w:id="25" w:name="strategic-partnerships"/>
    <w:p>
      <w:pPr>
        <w:pStyle w:val="Heading3"/>
      </w:pPr>
      <w:r>
        <w:t xml:space="preserve">2. Strategic Partnerships</w:t>
      </w:r>
    </w:p>
    <w:p>
      <w:pPr>
        <w:pStyle w:val="FirstParagraph"/>
      </w:pPr>
      <w:r>
        <w:t xml:space="preserve">Formal alliances with Melbourne institutions:</w:t>
      </w:r>
      <w:r>
        <w:t xml:space="preserve"> </w:t>
      </w:r>
      <w:r>
        <w:t xml:space="preserve">• Collaborate with the University of Melbourne’s School of Physics to co-host "Physics Innovation Forums" at the Melbourne Museum (reaching 500+ attendees quarterly).</w:t>
      </w:r>
      <w:r>
        <w:t xml:space="preserve"> </w:t>
      </w:r>
      <w:r>
        <w:t xml:space="preserve">• Partner with VicTESOL for physics teacher training programs, positioning as the go-to expert for Australian curriculum compliance.</w:t>
      </w:r>
      <w:r>
        <w:t xml:space="preserve"> </w:t>
      </w:r>
      <w:r>
        <w:t xml:space="preserve">• Join the Victorian Renewable Energy Council to access energy sector networks. These relationships will generate 60% of initial leads through trusted referrals.</w:t>
      </w:r>
    </w:p>
    <w:bookmarkEnd w:id="25"/>
    <w:bookmarkStart w:id="26" w:name="hyper-local-community-engagement"/>
    <w:p>
      <w:pPr>
        <w:pStyle w:val="Heading3"/>
      </w:pPr>
      <w:r>
        <w:t xml:space="preserve">3. Hyper-Local Community Engagement</w:t>
      </w:r>
    </w:p>
    <w:p>
      <w:pPr>
        <w:pStyle w:val="FirstParagraph"/>
      </w:pPr>
      <w:r>
        <w:t xml:space="preserve">Active participation in Melbourne’s scientific ecosystem:</w:t>
      </w:r>
      <w:r>
        <w:t xml:space="preserve"> </w:t>
      </w:r>
      <w:r>
        <w:t xml:space="preserve">• Sponsor STEM events at Scienceworks Museum (e.g., "Physics in Your Backyard" workshops for schools).</w:t>
      </w:r>
      <w:r>
        <w:t xml:space="preserve"> </w:t>
      </w:r>
      <w:r>
        <w:t xml:space="preserve">• Deliver free lunchtime seminars at Melbourne CBD offices (e.g., "Physics Solutions for Urban Energy Efficiency" at RMIT’s campus).</w:t>
      </w:r>
      <w:r>
        <w:t xml:space="preserve"> </w:t>
      </w:r>
      <w:r>
        <w:t xml:space="preserve">• Contribute to the Victorian Government's "Science Engagement Program" to build public trust. This local presence builds credibility beyond online metrics.</w:t>
      </w:r>
    </w:p>
    <w:bookmarkEnd w:id="26"/>
    <w:bookmarkEnd w:id="27"/>
    <w:bookmarkStart w:id="28" w:name="budget-allocation"/>
    <w:p>
      <w:pPr>
        <w:pStyle w:val="Heading2"/>
      </w:pPr>
      <w:r>
        <w:t xml:space="preserve">Budget Allocation</w:t>
      </w:r>
    </w:p>
    <w:p>
      <w:pPr>
        <w:pStyle w:val="FirstParagraph"/>
      </w:pPr>
      <w:r>
        <w:t xml:space="preserve">Total Year 1 Budget: $38,500 (allocated for Melbourne-focused activities):</w:t>
      </w:r>
    </w:p>
    <w:p>
      <w:pPr>
        <w:numPr>
          <w:ilvl w:val="0"/>
          <w:numId w:val="1003"/>
        </w:numPr>
        <w:pStyle w:val="Compact"/>
      </w:pPr>
      <w:r>
        <w:t xml:space="preserve">Website/SEO: $8,200 (priority for local search visibility)</w:t>
      </w:r>
    </w:p>
    <w:p>
      <w:pPr>
        <w:numPr>
          <w:ilvl w:val="0"/>
          <w:numId w:val="1003"/>
        </w:numPr>
        <w:pStyle w:val="Compact"/>
      </w:pPr>
      <w:r>
        <w:t xml:space="preserve">Partnership Events: $14,700 (including venue costs at Melbourne venues like the State Library or Royal Botanic Gardens)</w:t>
      </w:r>
    </w:p>
    <w:p>
      <w:pPr>
        <w:numPr>
          <w:ilvl w:val="0"/>
          <w:numId w:val="1003"/>
        </w:numPr>
        <w:pStyle w:val="Compact"/>
      </w:pPr>
      <w:r>
        <w:t xml:space="preserve">Content Marketing: $7,500 (video case studies featuring Victorian clients)</w:t>
      </w:r>
    </w:p>
    <w:p>
      <w:pPr>
        <w:numPr>
          <w:ilvl w:val="0"/>
          <w:numId w:val="1003"/>
        </w:numPr>
        <w:pStyle w:val="Compact"/>
      </w:pPr>
      <w:r>
        <w:t xml:space="preserve">Networking &amp; Travel: $8,100 (Melbourne-specific conferences like AusPhys 2024 and local industry mixers)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Landing page launch with Melbourne-specific content; join Victorian Physics Association; secure 2 university partnerships.</w:t>
            </w:r>
          </w:p>
        </w:tc>
      </w:tr>
      <w:tr>
        <w:tc>
          <w:tcPr/>
          <w:p>
            <w:pPr>
              <w:pStyle w:val="Compact"/>
              <w:jc w:val="left"/>
            </w:pPr>
            <w:r>
              <w:t xml:space="preserve">Q2 (Apr-Jun)</w:t>
            </w:r>
          </w:p>
        </w:tc>
        <w:tc>
          <w:tcPr/>
          <w:p>
            <w:pPr>
              <w:pStyle w:val="Compact"/>
              <w:jc w:val="left"/>
            </w:pPr>
            <w:r>
              <w:t xml:space="preserve">Host first Physics Innovation Forum at Scienceworks Museum; begin school outreach in Melbourne suburbs.</w:t>
            </w:r>
          </w:p>
        </w:tc>
      </w:tr>
      <w:tr>
        <w:tc>
          <w:tcPr/>
          <w:p>
            <w:pPr>
              <w:pStyle w:val="Compact"/>
              <w:jc w:val="left"/>
            </w:pPr>
            <w:r>
              <w:t xml:space="preserve">Q3 (Jul-Sep)</w:t>
            </w:r>
          </w:p>
        </w:tc>
        <w:tc>
          <w:tcPr/>
          <w:p>
            <w:pPr>
              <w:pStyle w:val="Compact"/>
              <w:jc w:val="left"/>
            </w:pPr>
            <w:r>
              <w:t xml:space="preserve">Secure 4 industry contracts; publish Victorian case studies in "Melbourne Science Journal"; join Renewable Energy Council.</w:t>
            </w:r>
          </w:p>
        </w:tc>
      </w:tr>
      <w:tr>
        <w:tc>
          <w:tcPr/>
          <w:p>
            <w:pPr>
              <w:pStyle w:val="Compact"/>
              <w:jc w:val="left"/>
            </w:pPr>
            <w:r>
              <w:t xml:space="preserve">Q4 (Oct-Dec)</w:t>
            </w:r>
          </w:p>
        </w:tc>
        <w:tc>
          <w:tcPr/>
          <w:p>
            <w:pPr>
              <w:pStyle w:val="Compact"/>
              <w:jc w:val="left"/>
            </w:pPr>
            <w:r>
              <w:t xml:space="preserve">Analyze client acquisition costs; develop 2025 strategy with Melbourne institutions for scaling.</w:t>
            </w:r>
          </w:p>
        </w:tc>
      </w:tr>
    </w:tbl>
    <w:bookmarkEnd w:id="29"/>
    <w:bookmarkStart w:id="30" w:name="evaluation-adaptation"/>
    <w:p>
      <w:pPr>
        <w:pStyle w:val="Heading2"/>
      </w:pPr>
      <w:r>
        <w:t xml:space="preserve">Evaluation &amp; Adaptation</w:t>
      </w:r>
    </w:p>
    <w:p>
      <w:pPr>
        <w:pStyle w:val="FirstParagraph"/>
      </w:pPr>
      <w:r>
        <w:t xml:space="preserve">Success will be measured through KPIs specific to Australia Melbourne context:</w:t>
      </w:r>
      <w:r>
        <w:t xml:space="preserve"> </w:t>
      </w:r>
      <w:r>
        <w:t xml:space="preserve">• Lead Quality: Minimum 75% of leads from Melbourne-based organizations (tracked via CRM).</w:t>
      </w:r>
      <w:r>
        <w:t xml:space="preserve"> </w:t>
      </w:r>
      <w:r>
        <w:t xml:space="preserve">• Client Retention: Target 80% repeat business rate within Victorian sector (e.g., schools renewing annual contracts).</w:t>
      </w:r>
      <w:r>
        <w:t xml:space="preserve"> </w:t>
      </w:r>
      <w:r>
        <w:t xml:space="preserve">• Local Impact: Number of events attended in Melbourne suburbs (&gt;12 quarterly), with attendee feedback scores.</w:t>
      </w:r>
      <w:r>
        <w:t xml:space="preserve"> </w:t>
      </w:r>
      <w:r>
        <w:t xml:space="preserve">Monthly reviews will adjust tactics based on Melbourne market dynamics—e.g., if renewable energy demand spikes, reallocating 20% of event budget to solar-focused workshops. The Marketing Plan includes quarterly stakeholder interviews with key Victorian partners to ensure alignment with Australia's national science priorities.</w:t>
      </w:r>
    </w:p>
    <w:bookmarkEnd w:id="30"/>
    <w:bookmarkStart w:id="31" w:name="Xa568d59b2cd83eaa62d6081e80f48d6cc317609"/>
    <w:p>
      <w:pPr>
        <w:pStyle w:val="Heading2"/>
      </w:pPr>
      <w:r>
        <w:t xml:space="preserve">Conclusion: Why Melbourne is the Ideal Launchpad</w:t>
      </w:r>
    </w:p>
    <w:p>
      <w:pPr>
        <w:pStyle w:val="FirstParagraph"/>
      </w:pPr>
      <w:r>
        <w:t xml:space="preserve">Melbourne’s concentration of physics-driven innovation, coupled with Australia’s national commitment to scientific advancement, creates a uniquely fertile environment for an independent Physicist. This Marketing Plan doesn’t merely sell services—it positions the Physicist as a strategic partner in Melbourne's journey toward becoming Australia’s #1 science hub. By embedding every tactic within the local context—from SEO targeting "physicist Melbourne" to leveraging VicRoads' renewable energy policies—the plan ensures maximum relevance and ROI. As Victoria accelerates its science economy, this targeted approach transforms the Physicist from a service provider into a catalyst for regional growth. The result is a sustainable business model that thrives within Australia's most dynamic physics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Independent Physicist - Australia Melbourne</dc:title>
  <dc:creator/>
  <dc:language>en</dc:language>
  <cp:keywords/>
  <dcterms:created xsi:type="dcterms:W3CDTF">2026-07-18T21:07:47Z</dcterms:created>
  <dcterms:modified xsi:type="dcterms:W3CDTF">2026-07-18T21:07:47Z</dcterms:modified>
</cp:coreProperties>
</file>

<file path=docProps/custom.xml><?xml version="1.0" encoding="utf-8"?>
<Properties xmlns="http://schemas.openxmlformats.org/officeDocument/2006/custom-properties" xmlns:vt="http://schemas.openxmlformats.org/officeDocument/2006/docPropsVTypes"/>
</file>