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Solutions</w:t>
      </w:r>
      <w:r>
        <w:t xml:space="preserve"> </w:t>
      </w:r>
      <w:r>
        <w:t xml:space="preserve">in</w:t>
      </w:r>
      <w:r>
        <w:t xml:space="preserve"> </w:t>
      </w:r>
      <w:r>
        <w:t xml:space="preserve">Belgium</w:t>
      </w:r>
      <w:r>
        <w:t xml:space="preserve"> </w:t>
      </w:r>
      <w:r>
        <w:t xml:space="preserve">Brussels</w:t>
      </w:r>
    </w:p>
    <w:bookmarkStart w:id="33" w:name="X3969931b1a54dbc804eb93da1f9d532cab1b3fc"/>
    <w:p>
      <w:pPr>
        <w:pStyle w:val="Heading1"/>
      </w:pPr>
      <w:r>
        <w:t xml:space="preserve">Comprehensive Marketing Plan for Physicist Solutions in Belgium Brussels</w:t>
      </w:r>
    </w:p>
    <w:bookmarkStart w:id="20" w:name="executive-summary"/>
    <w:p>
      <w:pPr>
        <w:pStyle w:val="Heading2"/>
      </w:pPr>
      <w:r>
        <w:t xml:space="preserve">Executive Summary</w:t>
      </w:r>
    </w:p>
    <w:p>
      <w:pPr>
        <w:pStyle w:val="FirstParagraph"/>
      </w:pPr>
      <w:r>
        <w:t xml:space="preserve">This Marketing Plan outlines the strategic approach for "Physicist Solutions," a specialized consultancy firm delivering advanced physics-based engineering and research services across Belgium Brussels. As the capital of the European Union with 50% of all EU institutions located in its metropolitan area, Brussels represents an unparalleled ecosystem for physics innovation. This plan targets leveraging Belgium's strong academic infrastructure—home to leading institutions like KU Leuven and Université libre de Bruxelles—to position Physicist Solutions as the premier physics consultancy for European industrial and governmental clients. Our unique value proposition combines cutting-edge quantum research expertise with deep Brussels market knowledge, addressing critical needs in renewable energy, aerospace, and EU regulatory compliance. The 12-month plan projects a 40% market share growth within Belgium's physics consultancy sector while establishing Physicist Solutions as the go-to partner for EU-aligned physics solutions.</w:t>
      </w:r>
    </w:p>
    <w:bookmarkEnd w:id="20"/>
    <w:bookmarkStart w:id="21" w:name="market-analysis-belgium-brussels-context"/>
    <w:p>
      <w:pPr>
        <w:pStyle w:val="Heading2"/>
      </w:pPr>
      <w:r>
        <w:t xml:space="preserve">Market Analysis: Belgium Brussels Context</w:t>
      </w:r>
    </w:p>
    <w:p>
      <w:pPr>
        <w:pStyle w:val="FirstParagraph"/>
      </w:pPr>
      <w:r>
        <w:t xml:space="preserve">Belgium Brussels operates at the nexus of global science and policy, hosting 51% of EU Commission departments and 37 European agencies. This creates exceptional demand for physics expertise in three key sectors:</w:t>
      </w:r>
    </w:p>
    <w:p>
      <w:pPr>
        <w:numPr>
          <w:ilvl w:val="0"/>
          <w:numId w:val="1001"/>
        </w:numPr>
        <w:pStyle w:val="Compact"/>
      </w:pPr>
      <w:r>
        <w:rPr>
          <w:bCs/>
          <w:b/>
        </w:rPr>
        <w:t xml:space="preserve">EU Regulatory Technology:</w:t>
      </w:r>
      <w:r>
        <w:t xml:space="preserve"> </w:t>
      </w:r>
      <w:r>
        <w:t xml:space="preserve">Physicists are critical in developing compliance frameworks for emerging tech (e.g., quantum computing, AI safety), with 28 new EU directives requiring physics validation annually.</w:t>
      </w:r>
    </w:p>
    <w:p>
      <w:pPr>
        <w:numPr>
          <w:ilvl w:val="0"/>
          <w:numId w:val="1001"/>
        </w:numPr>
        <w:pStyle w:val="Compact"/>
      </w:pPr>
      <w:r>
        <w:rPr>
          <w:bCs/>
          <w:b/>
        </w:rPr>
        <w:t xml:space="preserve">Sustainable Infrastructure:</w:t>
      </w:r>
      <w:r>
        <w:t xml:space="preserve"> </w:t>
      </w:r>
      <w:r>
        <w:t xml:space="preserve">Brussels' 2030 carbon neutrality goal drives demand for physicists in energy storage systems and smart grid optimization, with a €1.7B market growth projection by 2025.</w:t>
      </w:r>
    </w:p>
    <w:p>
      <w:pPr>
        <w:numPr>
          <w:ilvl w:val="0"/>
          <w:numId w:val="1001"/>
        </w:numPr>
        <w:pStyle w:val="Compact"/>
      </w:pPr>
      <w:r>
        <w:rPr>
          <w:bCs/>
          <w:b/>
        </w:rPr>
        <w:t xml:space="preserve">Defense &amp; Aerospace Innovation:</w:t>
      </w:r>
      <w:r>
        <w:t xml:space="preserve"> </w:t>
      </w:r>
      <w:r>
        <w:t xml:space="preserve">The presence of NATO's European headquarters and Thales Belgium creates consistent demand for applied physics in sensor development and material science.</w:t>
      </w:r>
    </w:p>
    <w:p>
      <w:pPr>
        <w:pStyle w:val="FirstParagraph"/>
      </w:pPr>
      <w:r>
        <w:t xml:space="preserve">A gap exists between Brussels' scientific potential and practical implementation—74% of EU institutions report physics expertise shortages in procurement processes (European Commission, 2023). Physicist Solutions directly addresses this through localized service delivery with Brussels-based teams, eliminating geographic barriers to rapid solution deployment.</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Belgium Brussels:</w:t>
      </w:r>
    </w:p>
    <w:p>
      <w:pPr>
        <w:numPr>
          <w:ilvl w:val="0"/>
          <w:numId w:val="1002"/>
        </w:numPr>
        <w:pStyle w:val="Compact"/>
      </w:pPr>
      <w:r>
        <w:rPr>
          <w:bCs/>
          <w:b/>
        </w:rPr>
        <w:t xml:space="preserve">EU Institutions (45% focus):</w:t>
      </w:r>
      <w:r>
        <w:t xml:space="preserve"> </w:t>
      </w:r>
      <w:r>
        <w:t xml:space="preserve">Including the European Environment Agency and Joint Research Centre. They require physics validation for sustainability policies with €300M+ annual budgets.</w:t>
      </w:r>
    </w:p>
    <w:p>
      <w:pPr>
        <w:numPr>
          <w:ilvl w:val="0"/>
          <w:numId w:val="1002"/>
        </w:numPr>
        <w:pStyle w:val="Compact"/>
      </w:pPr>
      <w:r>
        <w:rPr>
          <w:bCs/>
          <w:b/>
        </w:rPr>
        <w:t xml:space="preserve">Brussels-Metro Tech Corporations (35% focus):</w:t>
      </w:r>
      <w:r>
        <w:t xml:space="preserve"> </w:t>
      </w:r>
      <w:r>
        <w:t xml:space="preserve">Companies like IMEC, SABIC Europe, and Boeing Belgium need applied physics for R&amp;D in semiconductor manufacturing and green tech.</w:t>
      </w:r>
    </w:p>
    <w:p>
      <w:pPr>
        <w:numPr>
          <w:ilvl w:val="0"/>
          <w:numId w:val="1002"/>
        </w:numPr>
        <w:pStyle w:val="Compact"/>
      </w:pPr>
      <w:r>
        <w:rPr>
          <w:bCs/>
          <w:b/>
        </w:rPr>
        <w:t xml:space="preserve">Belgian Academic Partnerships (20% focus):</w:t>
      </w:r>
      <w:r>
        <w:t xml:space="preserve"> </w:t>
      </w:r>
      <w:r>
        <w:t xml:space="preserve">KU Leuven’s Quantum Research Center and VUB's Physics Department seek collaborative physics consultancy for grant-funded projects.</w:t>
      </w:r>
    </w:p>
    <w:bookmarkEnd w:id="22"/>
    <w:bookmarkStart w:id="23" w:name="marketing-objectives-12-month-horizon"/>
    <w:p>
      <w:pPr>
        <w:pStyle w:val="Heading2"/>
      </w:pPr>
      <w:r>
        <w:t xml:space="preserve">Marketing Objectives (12-Month Horizon)</w:t>
      </w:r>
    </w:p>
    <w:p>
      <w:pPr>
        <w:numPr>
          <w:ilvl w:val="0"/>
          <w:numId w:val="1003"/>
        </w:numPr>
        <w:pStyle w:val="Compact"/>
      </w:pPr>
      <w:r>
        <w:rPr>
          <w:bCs/>
          <w:b/>
        </w:rPr>
        <w:t xml:space="preserve">Brand Awareness:</w:t>
      </w:r>
      <w:r>
        <w:t xml:space="preserve"> </w:t>
      </w:r>
      <w:r>
        <w:t xml:space="preserve">Achieve 85% recognition among Brussels-based EU technical officers through targeted engagements.</w:t>
      </w:r>
    </w:p>
    <w:p>
      <w:pPr>
        <w:numPr>
          <w:ilvl w:val="0"/>
          <w:numId w:val="1003"/>
        </w:numPr>
        <w:pStyle w:val="Compact"/>
      </w:pPr>
      <w:r>
        <w:rPr>
          <w:bCs/>
          <w:b/>
        </w:rPr>
        <w:t xml:space="preserve">Clients Acquisition:</w:t>
      </w:r>
      <w:r>
        <w:t xml:space="preserve"> </w:t>
      </w:r>
      <w:r>
        <w:t xml:space="preserve">Secure 15 new contracts with EU institutions and major corporations by Q4 2024, generating €1.2M in revenue.</w:t>
      </w:r>
    </w:p>
    <w:p>
      <w:pPr>
        <w:numPr>
          <w:ilvl w:val="0"/>
          <w:numId w:val="1003"/>
        </w:numPr>
        <w:pStyle w:val="Compact"/>
      </w:pPr>
      <w:r>
        <w:rPr>
          <w:bCs/>
          <w:b/>
        </w:rPr>
        <w:t xml:space="preserve">Partnership Development:</w:t>
      </w:r>
      <w:r>
        <w:t xml:space="preserve"> </w:t>
      </w:r>
      <w:r>
        <w:t xml:space="preserve">Forge strategic alliances with 3 key Brussels universities for joint research initiatives.</w:t>
      </w:r>
    </w:p>
    <w:p>
      <w:pPr>
        <w:numPr>
          <w:ilvl w:val="0"/>
          <w:numId w:val="1003"/>
        </w:numPr>
        <w:pStyle w:val="Compact"/>
      </w:pPr>
      <w:r>
        <w:rPr>
          <w:bCs/>
          <w:b/>
        </w:rPr>
        <w:t xml:space="preserve">Market Positioning:</w:t>
      </w:r>
      <w:r>
        <w:t xml:space="preserve"> </w:t>
      </w:r>
      <w:r>
        <w:t xml:space="preserve">Become the #1 physics consultancy in Belgium Brussels per European Business Review rankings by Year-End.</w:t>
      </w:r>
    </w:p>
    <w:bookmarkEnd w:id="23"/>
    <w:bookmarkStart w:id="28" w:name="strategic-marketing-mix-4ps"/>
    <w:p>
      <w:pPr>
        <w:pStyle w:val="Heading2"/>
      </w:pPr>
      <w:r>
        <w:t xml:space="preserve">Strategic Marketing Mix (4Ps)</w:t>
      </w:r>
    </w:p>
    <w:bookmarkStart w:id="24" w:name="X5f5c94a809f898ab1649b62ad92980b63bb7654"/>
    <w:p>
      <w:pPr>
        <w:pStyle w:val="Heading3"/>
      </w:pPr>
      <w:r>
        <w:t xml:space="preserve">Product: Physics Solutions Tailored for Brussels Context</w:t>
      </w:r>
    </w:p>
    <w:p>
      <w:pPr>
        <w:pStyle w:val="FirstParagraph"/>
      </w:pPr>
      <w:r>
        <w:t xml:space="preserve">We offer three specialized services uniquely calibrated for Belgium Brussels:</w:t>
      </w:r>
    </w:p>
    <w:p>
      <w:pPr>
        <w:numPr>
          <w:ilvl w:val="0"/>
          <w:numId w:val="1004"/>
        </w:numPr>
        <w:pStyle w:val="Compact"/>
      </w:pPr>
      <w:r>
        <w:rPr>
          <w:iCs/>
          <w:i/>
        </w:rPr>
        <w:t xml:space="preserve">EU Regulatory Physics Compliance:</w:t>
      </w:r>
      <w:r>
        <w:t xml:space="preserve"> </w:t>
      </w:r>
      <w:r>
        <w:t xml:space="preserve">Turnkey validation of tech solutions against EU directives (e.g., AI Act, Green Deal) using Brussels-specific regulatory mapping.</w:t>
      </w:r>
    </w:p>
    <w:p>
      <w:pPr>
        <w:numPr>
          <w:ilvl w:val="0"/>
          <w:numId w:val="1004"/>
        </w:numPr>
        <w:pStyle w:val="Compact"/>
      </w:pPr>
      <w:r>
        <w:rPr>
          <w:iCs/>
          <w:i/>
        </w:rPr>
        <w:t xml:space="preserve">Brussels Sustainable Energy Modeling:</w:t>
      </w:r>
      <w:r>
        <w:t xml:space="preserve"> </w:t>
      </w:r>
      <w:r>
        <w:t xml:space="preserve">Physics-based simulations for municipal energy grids, leveraging real-time data from Brussels' smart city infrastructure.</w:t>
      </w:r>
    </w:p>
    <w:p>
      <w:pPr>
        <w:numPr>
          <w:ilvl w:val="0"/>
          <w:numId w:val="1004"/>
        </w:numPr>
        <w:pStyle w:val="Compact"/>
      </w:pPr>
      <w:r>
        <w:rPr>
          <w:iCs/>
          <w:i/>
        </w:rPr>
        <w:t xml:space="preserve">NATO-Standardized Material Science:</w:t>
      </w:r>
      <w:r>
        <w:t xml:space="preserve"> </w:t>
      </w:r>
      <w:r>
        <w:t xml:space="preserve">R&amp;D support for defense contractors requiring physics validation aligned with NATO technical standards.</w:t>
      </w:r>
    </w:p>
    <w:bookmarkEnd w:id="24"/>
    <w:bookmarkStart w:id="25" w:name="price-value-based-pricing-in-euros"/>
    <w:p>
      <w:pPr>
        <w:pStyle w:val="Heading3"/>
      </w:pPr>
      <w:r>
        <w:t xml:space="preserve">Price: Value-Based Pricing in Euros</w:t>
      </w:r>
    </w:p>
    <w:p>
      <w:pPr>
        <w:pStyle w:val="FirstParagraph"/>
      </w:pPr>
      <w:r>
        <w:t xml:space="preserve">Absent industry-standard pricing, we implement tiered value-based models:</w:t>
      </w:r>
    </w:p>
    <w:p>
      <w:pPr>
        <w:numPr>
          <w:ilvl w:val="0"/>
          <w:numId w:val="1005"/>
        </w:numPr>
        <w:pStyle w:val="Compact"/>
      </w:pPr>
      <w:r>
        <w:rPr>
          <w:bCs/>
          <w:b/>
        </w:rPr>
        <w:t xml:space="preserve">EU Institutional Tier:</w:t>
      </w:r>
      <w:r>
        <w:t xml:space="preserve"> </w:t>
      </w:r>
      <w:r>
        <w:t xml:space="preserve">€450–€750/hr (premium for regulatory expertise)</w:t>
      </w:r>
    </w:p>
    <w:p>
      <w:pPr>
        <w:numPr>
          <w:ilvl w:val="0"/>
          <w:numId w:val="1005"/>
        </w:numPr>
        <w:pStyle w:val="Compact"/>
      </w:pPr>
      <w:r>
        <w:rPr>
          <w:bCs/>
          <w:b/>
        </w:rPr>
        <w:t xml:space="preserve">Corporate R&amp;D Tier:</w:t>
      </w:r>
      <w:r>
        <w:t xml:space="preserve"> </w:t>
      </w:r>
      <w:r>
        <w:t xml:space="preserve">€380–€620/hr (volume discounts for 12-month contracts)</w:t>
      </w:r>
    </w:p>
    <w:p>
      <w:pPr>
        <w:numPr>
          <w:ilvl w:val="0"/>
          <w:numId w:val="1005"/>
        </w:numPr>
        <w:pStyle w:val="Compact"/>
      </w:pPr>
      <w:r>
        <w:rPr>
          <w:bCs/>
          <w:b/>
        </w:rPr>
        <w:t xml:space="preserve">Academic Collaborative Tier:</w:t>
      </w:r>
      <w:r>
        <w:t xml:space="preserve"> </w:t>
      </w:r>
      <w:r>
        <w:t xml:space="preserve">€250/hr (reduced rate for grant-funded projects)</w:t>
      </w:r>
    </w:p>
    <w:bookmarkEnd w:id="25"/>
    <w:bookmarkStart w:id="26" w:name="Xb7d459e8b41c0bad3203c4cf9aaf69c2af3104c"/>
    <w:p>
      <w:pPr>
        <w:pStyle w:val="Heading3"/>
      </w:pPr>
      <w:r>
        <w:t xml:space="preserve">Promotion: Brussels-Centric Engagement Strategy</w:t>
      </w:r>
    </w:p>
    <w:p>
      <w:pPr>
        <w:pStyle w:val="FirstParagraph"/>
      </w:pPr>
      <w:r>
        <w:t xml:space="preserve">All campaigns leverage Belgium's unique geopolitical and cultural landscape:</w:t>
      </w:r>
    </w:p>
    <w:p>
      <w:pPr>
        <w:numPr>
          <w:ilvl w:val="0"/>
          <w:numId w:val="1006"/>
        </w:numPr>
        <w:pStyle w:val="Compact"/>
      </w:pPr>
      <w:r>
        <w:rPr>
          <w:iCs/>
          <w:i/>
        </w:rPr>
        <w:t xml:space="preserve">EU Policy Forums:</w:t>
      </w:r>
      <w:r>
        <w:t xml:space="preserve"> </w:t>
      </w:r>
      <w:r>
        <w:t xml:space="preserve">Sponsor sessions at European Commission workshops (e.g., "Physics in Sustainable EU Implementation") with Physicist Solutions' experts as keynote speakers.</w:t>
      </w:r>
    </w:p>
    <w:p>
      <w:pPr>
        <w:numPr>
          <w:ilvl w:val="0"/>
          <w:numId w:val="1006"/>
        </w:numPr>
        <w:pStyle w:val="Compact"/>
      </w:pPr>
      <w:r>
        <w:rPr>
          <w:iCs/>
          <w:i/>
        </w:rPr>
        <w:t xml:space="preserve">Brussels University Partnerships:</w:t>
      </w:r>
      <w:r>
        <w:t xml:space="preserve"> </w:t>
      </w:r>
      <w:r>
        <w:t xml:space="preserve">Co-host "Physics Innovation Nights" at KU Leuven and VUB, featuring real case studies from Brussels projects.</w:t>
      </w:r>
    </w:p>
    <w:p>
      <w:pPr>
        <w:numPr>
          <w:ilvl w:val="0"/>
          <w:numId w:val="1006"/>
        </w:numPr>
        <w:pStyle w:val="Compact"/>
      </w:pPr>
      <w:r>
        <w:rPr>
          <w:iCs/>
          <w:i/>
        </w:rPr>
        <w:t xml:space="preserve">Localized Digital Campaigns:</w:t>
      </w:r>
      <w:r>
        <w:t xml:space="preserve"> </w:t>
      </w:r>
      <w:r>
        <w:t xml:space="preserve">LinkedIn ads targeting EU officials with content in French/Dutch (Belgium's official languages), emphasizing Brussels-specific regulatory outcomes.</w:t>
      </w:r>
    </w:p>
    <w:p>
      <w:pPr>
        <w:numPr>
          <w:ilvl w:val="0"/>
          <w:numId w:val="1006"/>
        </w:numPr>
        <w:pStyle w:val="Compact"/>
      </w:pPr>
      <w:r>
        <w:rPr>
          <w:iCs/>
          <w:i/>
        </w:rPr>
        <w:t xml:space="preserve">Government Outreach:</w:t>
      </w:r>
      <w:r>
        <w:t xml:space="preserve"> </w:t>
      </w:r>
      <w:r>
        <w:t xml:space="preserve">Direct engagement with the Belgian Federal Public Service for Economic Affairs (FPS Economy) on physics-adjacent initiatives.</w:t>
      </w:r>
    </w:p>
    <w:bookmarkEnd w:id="26"/>
    <w:bookmarkStart w:id="27" w:name="Xb4b8d2c05fa137839f3965b402c5bcb7b3cb9f9"/>
    <w:p>
      <w:pPr>
        <w:pStyle w:val="Heading3"/>
      </w:pPr>
      <w:r>
        <w:t xml:space="preserve">Place: Brussels-Dominant Operational Model</w:t>
      </w:r>
    </w:p>
    <w:p>
      <w:pPr>
        <w:pStyle w:val="FirstParagraph"/>
      </w:pPr>
      <w:r>
        <w:t xml:space="preserve">Physical presence is non-negotiable for Belgium Brussels credibility:</w:t>
      </w:r>
    </w:p>
    <w:p>
      <w:pPr>
        <w:numPr>
          <w:ilvl w:val="0"/>
          <w:numId w:val="1007"/>
        </w:numPr>
        <w:pStyle w:val="Compact"/>
      </w:pPr>
      <w:r>
        <w:rPr>
          <w:iCs/>
          <w:i/>
        </w:rPr>
        <w:t xml:space="preserve">Headquarters:</w:t>
      </w:r>
      <w:r>
        <w:t xml:space="preserve"> </w:t>
      </w:r>
      <w:r>
        <w:t xml:space="preserve">Located in the EU quarter (Rue de la Loi), within 500m of European Commission buildings.</w:t>
      </w:r>
    </w:p>
    <w:p>
      <w:pPr>
        <w:numPr>
          <w:ilvl w:val="0"/>
          <w:numId w:val="1007"/>
        </w:numPr>
        <w:pStyle w:val="Compact"/>
      </w:pPr>
      <w:r>
        <w:rPr>
          <w:iCs/>
          <w:i/>
        </w:rPr>
        <w:t xml:space="preserve">National Reach:</w:t>
      </w:r>
      <w:r>
        <w:t xml:space="preserve"> </w:t>
      </w:r>
      <w:r>
        <w:t xml:space="preserve">On-site teams deployed across Flemish and Walloon Brussels regions for rapid local response.</w:t>
      </w:r>
    </w:p>
    <w:p>
      <w:pPr>
        <w:numPr>
          <w:ilvl w:val="0"/>
          <w:numId w:val="1007"/>
        </w:numPr>
        <w:pStyle w:val="Compact"/>
      </w:pPr>
      <w:r>
        <w:rPr>
          <w:iCs/>
          <w:i/>
        </w:rPr>
        <w:t xml:space="preserve">Digital Hub:</w:t>
      </w:r>
      <w:r>
        <w:t xml:space="preserve"> </w:t>
      </w:r>
      <w:r>
        <w:t xml:space="preserve">Secure cloud platform co-hosted on Belgian EU-compliant servers, enabling real-time physics modeling for clients across Belgium.</w:t>
      </w:r>
    </w:p>
    <w:bookmarkEnd w:id="27"/>
    <w:bookmarkEnd w:id="28"/>
    <w:bookmarkStart w:id="29" w:name="budget-allocation-350000-total"/>
    <w:p>
      <w:pPr>
        <w:pStyle w:val="Heading2"/>
      </w:pPr>
      <w:r>
        <w:t xml:space="preserve">Budget Allocation (€350,000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EU Institutional Engagement</w:t>
            </w:r>
          </w:p>
        </w:tc>
        <w:tc>
          <w:tcPr/>
          <w:p>
            <w:pPr>
              <w:pStyle w:val="Compact"/>
              <w:jc w:val="left"/>
            </w:pPr>
            <w:r>
              <w:t xml:space="preserve">€120,000 (34%)</w:t>
            </w:r>
          </w:p>
        </w:tc>
        <w:tc>
          <w:tcPr/>
          <w:p>
            <w:pPr>
              <w:pStyle w:val="Compact"/>
              <w:jc w:val="left"/>
            </w:pPr>
            <w:r>
              <w:t xml:space="preserve">Sponsorship of 8 EU workshops; dedicated policy liaison officer.</w:t>
            </w:r>
          </w:p>
        </w:tc>
      </w:tr>
      <w:tr>
        <w:tc>
          <w:tcPr/>
          <w:p>
            <w:pPr>
              <w:pStyle w:val="Compact"/>
              <w:jc w:val="left"/>
            </w:pPr>
            <w:r>
              <w:t xml:space="preserve">Brussels University Partnerships</w:t>
            </w:r>
          </w:p>
        </w:tc>
        <w:tc>
          <w:tcPr/>
          <w:p>
            <w:pPr>
              <w:pStyle w:val="Compact"/>
              <w:jc w:val="left"/>
            </w:pPr>
            <w:r>
              <w:t xml:space="preserve">€95,000 (27%)</w:t>
            </w:r>
          </w:p>
        </w:tc>
        <w:tc>
          <w:tcPr/>
          <w:p>
            <w:pPr>
              <w:pStyle w:val="Compact"/>
              <w:jc w:val="left"/>
            </w:pPr>
            <w:r>
              <w:t xml:space="preserve">Joint research fund with KU Leuven; co-developed physics curriculum modules.</w:t>
            </w:r>
          </w:p>
        </w:tc>
      </w:tr>
      <w:tr>
        <w:tc>
          <w:tcPr/>
          <w:p>
            <w:pPr>
              <w:pStyle w:val="Compact"/>
              <w:jc w:val="left"/>
            </w:pPr>
            <w:r>
              <w:t xml:space="preserve">Digital &amp; Localization</w:t>
            </w:r>
          </w:p>
        </w:tc>
        <w:tc>
          <w:tcPr/>
          <w:p>
            <w:pPr>
              <w:pStyle w:val="Compact"/>
              <w:jc w:val="left"/>
            </w:pPr>
            <w:r>
              <w:t xml:space="preserve">€85,000 (24%)</w:t>
            </w:r>
          </w:p>
        </w:tc>
        <w:tc>
          <w:tcPr/>
          <w:p>
            <w:pPr>
              <w:pStyle w:val="Compact"/>
              <w:jc w:val="left"/>
            </w:pPr>
            <w:r>
              <w:t xml:space="preserve">Bilingual website; French/Dutch LinkedIn campaigns; Brussels-specific case studies.</w:t>
            </w:r>
          </w:p>
        </w:tc>
      </w:tr>
      <w:tr>
        <w:tc>
          <w:tcPr/>
          <w:p>
            <w:pPr>
              <w:pStyle w:val="Compact"/>
              <w:jc w:val="left"/>
            </w:pPr>
            <w:r>
              <w:t xml:space="preserve">Brand Positioning &amp; PR</w:t>
            </w:r>
          </w:p>
        </w:tc>
        <w:tc>
          <w:tcPr/>
          <w:p>
            <w:pPr>
              <w:pStyle w:val="Compact"/>
              <w:jc w:val="left"/>
            </w:pPr>
            <w:r>
              <w:t xml:space="preserve">€50,000 (14%)</w:t>
            </w:r>
          </w:p>
        </w:tc>
        <w:tc>
          <w:tcPr/>
          <w:p>
            <w:pPr>
              <w:pStyle w:val="Compact"/>
              <w:jc w:val="left"/>
            </w:pPr>
            <w:r>
              <w:t xml:space="preserve">Press releases in Belgian media (e.g., L'Écho); physics expert profiles in EU business journals.</w:t>
            </w:r>
          </w:p>
        </w:tc>
      </w:tr>
    </w:tbl>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Establish Brussels headquarters; launch university partnerships with VUB. Begin EU policy forum sponsorships.</w:t>
      </w:r>
    </w:p>
    <w:p>
      <w:pPr>
        <w:pStyle w:val="BodyText"/>
      </w:pPr>
      <w:r>
        <w:rPr>
          <w:bCs/>
          <w:b/>
        </w:rPr>
        <w:t xml:space="preserve">Q2 2024:</w:t>
      </w:r>
      <w:r>
        <w:t xml:space="preserve"> </w:t>
      </w:r>
      <w:r>
        <w:t xml:space="preserve">Release "Brussels Physics Regulatory Guide" for EU officials; deploy first client project with IMEC.</w:t>
      </w:r>
    </w:p>
    <w:p>
      <w:pPr>
        <w:pStyle w:val="BodyText"/>
      </w:pPr>
      <w:r>
        <w:rPr>
          <w:bCs/>
          <w:b/>
        </w:rPr>
        <w:t xml:space="preserve">Q3 2024:</w:t>
      </w:r>
      <w:r>
        <w:t xml:space="preserve"> </w:t>
      </w:r>
      <w:r>
        <w:t xml:space="preserve">Host inaugural "Physics Innovation Night" at KU Leuven; secure first corporate contract (Boeing Belgium).</w:t>
      </w:r>
    </w:p>
    <w:p>
      <w:pPr>
        <w:pStyle w:val="BodyText"/>
      </w:pPr>
      <w:r>
        <w:rPr>
          <w:bCs/>
          <w:b/>
        </w:rPr>
        <w:t xml:space="preserve">Q4 2024:</w:t>
      </w:r>
      <w:r>
        <w:t xml:space="preserve"> </w:t>
      </w:r>
      <w:r>
        <w:t xml:space="preserve">Achieve 15 new contracts; publish annual "Brussels Physics Impact Report" with EU institutions.</w:t>
      </w:r>
    </w:p>
    <w:bookmarkEnd w:id="30"/>
    <w:bookmarkStart w:id="31" w:name="measurement-evaluation"/>
    <w:p>
      <w:pPr>
        <w:pStyle w:val="Heading2"/>
      </w:pPr>
      <w:r>
        <w:t xml:space="preserve">Measurement &amp; Evaluation</w:t>
      </w:r>
    </w:p>
    <w:p>
      <w:pPr>
        <w:pStyle w:val="FirstParagraph"/>
      </w:pPr>
      <w:r>
        <w:t xml:space="preserve">KPIs are calibrated for Belgium Brussels market dynamics:</w:t>
      </w:r>
    </w:p>
    <w:p>
      <w:pPr>
        <w:numPr>
          <w:ilvl w:val="0"/>
          <w:numId w:val="1008"/>
        </w:numPr>
        <w:pStyle w:val="Compact"/>
      </w:pPr>
      <w:r>
        <w:rPr>
          <w:iCs/>
          <w:i/>
        </w:rPr>
        <w:t xml:space="preserve">Regulatory Influence Index:</w:t>
      </w:r>
      <w:r>
        <w:t xml:space="preserve"> </w:t>
      </w:r>
      <w:r>
        <w:t xml:space="preserve">Number of EU directives where Physicist Solutions' validation was referenced (Target: 5+ in Year 1).</w:t>
      </w:r>
    </w:p>
    <w:p>
      <w:pPr>
        <w:numPr>
          <w:ilvl w:val="0"/>
          <w:numId w:val="1008"/>
        </w:numPr>
        <w:pStyle w:val="Compact"/>
      </w:pPr>
      <w:r>
        <w:rPr>
          <w:iCs/>
          <w:i/>
        </w:rPr>
        <w:t xml:space="preserve">Brussels Market Penetration:</w:t>
      </w:r>
      <w:r>
        <w:t xml:space="preserve"> </w:t>
      </w:r>
      <w:r>
        <w:t xml:space="preserve">% of target clients engaging with physical headquarters (Target: 70% by Q4).</w:t>
      </w:r>
    </w:p>
    <w:p>
      <w:pPr>
        <w:numPr>
          <w:ilvl w:val="0"/>
          <w:numId w:val="1008"/>
        </w:numPr>
        <w:pStyle w:val="Compact"/>
      </w:pPr>
      <w:r>
        <w:rPr>
          <w:iCs/>
          <w:i/>
        </w:rPr>
        <w:t xml:space="preserve">National Partnership Score:</w:t>
      </w:r>
      <w:r>
        <w:t xml:space="preserve"> </w:t>
      </w:r>
      <w:r>
        <w:t xml:space="preserve">Academic/industrial collaboration count (Target: 3 major partnerships).</w:t>
      </w:r>
    </w:p>
    <w:p>
      <w:pPr>
        <w:pStyle w:val="FirstParagraph"/>
      </w:pPr>
      <w:r>
        <w:t xml:space="preserve">All metrics are tracked via a dedicated Brussels dashboard updated monthly, with quarterly reviews presented to the Belgian Federal Science Policy Office.</w:t>
      </w:r>
    </w:p>
    <w:bookmarkEnd w:id="31"/>
    <w:bookmarkStart w:id="32" w:name="conclusion"/>
    <w:p>
      <w:pPr>
        <w:pStyle w:val="Heading2"/>
      </w:pPr>
      <w:r>
        <w:t xml:space="preserve">Conclusion</w:t>
      </w:r>
    </w:p>
    <w:p>
      <w:pPr>
        <w:pStyle w:val="FirstParagraph"/>
      </w:pPr>
      <w:r>
        <w:t xml:space="preserve">This Marketing Plan positions Physicist Solutions as the essential physics partner for Belgium Brussels' unique ecosystem. By embedding our operations within the city's EU corridors and academic networks—while delivering solutions specifically engineered for Brussels' regulatory and infrastructural context—we will establish irreversible market leadership. The strategy recognizes that physics expertise is not universally applicable; it must be contextualized for Belgium's policy landscape. With 12 months of targeted execution, Physicist Solutions will transform from a specialist service provider into the indispensable physics advisor for all major institutions operating within Europe's capital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Solutions in Belgium Brussels</dc:title>
  <dc:creator/>
  <dc:language>en</dc:language>
  <cp:keywords/>
  <dcterms:created xsi:type="dcterms:W3CDTF">2026-07-20T01:59:59Z</dcterms:created>
  <dcterms:modified xsi:type="dcterms:W3CDTF">2026-07-20T01:59:59Z</dcterms:modified>
</cp:coreProperties>
</file>

<file path=docProps/custom.xml><?xml version="1.0" encoding="utf-8"?>
<Properties xmlns="http://schemas.openxmlformats.org/officeDocument/2006/custom-properties" xmlns:vt="http://schemas.openxmlformats.org/officeDocument/2006/docPropsVTypes"/>
</file>