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The</w:t>
      </w:r>
      <w:r>
        <w:t xml:space="preserve"> </w:t>
      </w:r>
      <w:r>
        <w:t xml:space="preserve">Physicist</w:t>
      </w:r>
      <w:r>
        <w:t xml:space="preserve"> </w:t>
      </w:r>
      <w:r>
        <w:t xml:space="preserve">-</w:t>
      </w:r>
      <w:r>
        <w:t xml:space="preserve"> </w:t>
      </w:r>
      <w:r>
        <w:t xml:space="preserve">Guangzhou</w:t>
      </w:r>
      <w:r>
        <w:t xml:space="preserve"> </w:t>
      </w:r>
      <w:r>
        <w:t xml:space="preserve">Expansion</w:t>
      </w:r>
      <w:r>
        <w:t xml:space="preserve"> </w:t>
      </w:r>
      <w:r>
        <w:t xml:space="preserve">Strategy</w:t>
      </w:r>
    </w:p>
    <w:bookmarkStart w:id="33" w:name="X2410238c8c9f11d81dadd769906d4cd888afcc4"/>
    <w:p>
      <w:pPr>
        <w:pStyle w:val="Heading1"/>
      </w:pPr>
      <w:r>
        <w:t xml:space="preserve">Comprehensive Marketing Plan for "The Physicist" in China Guangzhou</w:t>
      </w:r>
    </w:p>
    <w:bookmarkStart w:id="20" w:name="executive-summary"/>
    <w:p>
      <w:pPr>
        <w:pStyle w:val="Heading2"/>
      </w:pPr>
      <w:r>
        <w:t xml:space="preserve">Executive Summary</w:t>
      </w:r>
    </w:p>
    <w:p>
      <w:pPr>
        <w:pStyle w:val="FirstParagraph"/>
      </w:pPr>
      <w:r>
        <w:t xml:space="preserve">This marketing plan outlines the strategic entry and growth framework for "The Physicist," a cutting-edge physics-based educational technology platform, into the Guangzhou market of China. Targeting Guangzhou's rapidly growing STEM education sector and tech-savvy youth demographic, this plan details how we will leverage local partnerships, cultural nuances, and digital innovation to establish The Physicist as the premier physics learning solution in South China. With Guangzhou serving as a pivotal gateway to the Pearl River Delta's 50 million residents, this initiative positions The Physicist for nationwide scalability while addressing China's national priority for scientific literacy.</w:t>
      </w:r>
    </w:p>
    <w:bookmarkEnd w:id="20"/>
    <w:bookmarkStart w:id="21" w:name="market-analysis-guangzhou-context"/>
    <w:p>
      <w:pPr>
        <w:pStyle w:val="Heading2"/>
      </w:pPr>
      <w:r>
        <w:t xml:space="preserve">Market Analysis: Guangzhou Context</w:t>
      </w:r>
    </w:p>
    <w:p>
      <w:pPr>
        <w:pStyle w:val="FirstParagraph"/>
      </w:pPr>
      <w:r>
        <w:t xml:space="preserve">Guangzhou presents an unparalleled opportunity for The Physicist. As China's third-largest city and a UNESCO Creative City of Design, it boasts 148 universities (including Sun Yat-sen University and South China University of Technology), generating over 350,000 STEM graduates annually. The Guangdong Provincial Government prioritizes physics education through its "Science Literacy Action Plan," allocating $22 billion for STEM infrastructure by 2025. Crucially, Guangzhou's youth (14-35 age group) spends 18.7 hours weekly on educational apps – a 43% YoY increase – creating fertile ground for The Physicist's AI-driven physics simulations and personalized learning modules.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High school students (15-18) in Guangzhou's top 50 schools, particularly those preparing for Gaokao physics exams with average scores below 70/100.</w:t>
      </w:r>
    </w:p>
    <w:p>
      <w:pPr>
        <w:numPr>
          <w:ilvl w:val="0"/>
          <w:numId w:val="1001"/>
        </w:numPr>
        <w:pStyle w:val="Compact"/>
      </w:pPr>
      <w:r>
        <w:rPr>
          <w:bCs/>
          <w:b/>
        </w:rPr>
        <w:t xml:space="preserve">Secondary:</w:t>
      </w:r>
      <w:r>
        <w:t xml:space="preserve"> </w:t>
      </w:r>
      <w:r>
        <w:t xml:space="preserve">Parents of STEM-focused children (ages 25-45), who constitute the $1.8 billion annual education expenditure market in Guangzhou.</w:t>
      </w:r>
    </w:p>
    <w:p>
      <w:pPr>
        <w:numPr>
          <w:ilvl w:val="0"/>
          <w:numId w:val="1001"/>
        </w:numPr>
        <w:pStyle w:val="Compact"/>
      </w:pPr>
      <w:r>
        <w:rPr>
          <w:bCs/>
          <w:b/>
        </w:rPr>
        <w:t xml:space="preserve">Tertiary:</w:t>
      </w:r>
      <w:r>
        <w:t xml:space="preserve"> </w:t>
      </w:r>
      <w:r>
        <w:t xml:space="preserve">Physics teachers at secondary institutions seeking innovative curriculum tools, with Guangzhou having 12,000+ physics educators needing modern resources.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50,000 active users in Guangzhou within 6 months</w:t>
      </w:r>
    </w:p>
    <w:bookmarkEnd w:id="23"/>
    <w:bookmarkStart w:id="28" w:name="Xe6668126a0847a18041ffe799c62bb116b625b3"/>
    <w:p>
      <w:pPr>
        <w:pStyle w:val="Heading2"/>
      </w:pPr>
      <w:r>
        <w:t xml:space="preserve">Strategic Marketing Mix (The Physicist's 4Ps)</w:t>
      </w:r>
    </w:p>
    <w:bookmarkStart w:id="24" w:name="Xdb62b7f74db62863937a0e5f3bb26883f6efd10"/>
    <w:p>
      <w:pPr>
        <w:pStyle w:val="Heading3"/>
      </w:pPr>
      <w:r>
        <w:t xml:space="preserve">Product Strategy: Localized Physics Solutions</w:t>
      </w:r>
    </w:p>
    <w:p>
      <w:pPr>
        <w:pStyle w:val="FirstParagraph"/>
      </w:pPr>
      <w:r>
        <w:t xml:space="preserve">The Physicist's core platform will undergo Guangzhou-specific customization:</w:t>
      </w:r>
    </w:p>
    <w:p>
      <w:pPr>
        <w:numPr>
          <w:ilvl w:val="0"/>
          <w:numId w:val="1003"/>
        </w:numPr>
        <w:pStyle w:val="Compact"/>
      </w:pPr>
      <w:r>
        <w:rPr>
          <w:iCs/>
          <w:i/>
        </w:rPr>
        <w:t xml:space="preserve">Curriculum Alignment:</w:t>
      </w:r>
      <w:r>
        <w:t xml:space="preserve"> </w:t>
      </w:r>
      <w:r>
        <w:t xml:space="preserve">Content mapped to Guangdong Province's "New Gaokao Physics Syllabus" with localized examples (e.g., physics of Cantonese cuisine fermentation, Yangtze River hydrodynamics)</w:t>
      </w:r>
    </w:p>
    <w:p>
      <w:pPr>
        <w:numPr>
          <w:ilvl w:val="0"/>
          <w:numId w:val="1003"/>
        </w:numPr>
        <w:pStyle w:val="Compact"/>
      </w:pPr>
      <w:r>
        <w:rPr>
          <w:iCs/>
          <w:i/>
        </w:rPr>
        <w:t xml:space="preserve">Language &amp; Interface:</w:t>
      </w:r>
      <w:r>
        <w:t xml:space="preserve"> </w:t>
      </w:r>
      <w:r>
        <w:t xml:space="preserve">Full bilingual support (Mandarin + Cantonese) with Guangzhou-centric avatars and UI elements reflecting local culture</w:t>
      </w:r>
    </w:p>
    <w:p>
      <w:pPr>
        <w:numPr>
          <w:ilvl w:val="0"/>
          <w:numId w:val="1003"/>
        </w:numPr>
        <w:pStyle w:val="Compact"/>
      </w:pPr>
      <w:r>
        <w:rPr>
          <w:iCs/>
          <w:i/>
        </w:rPr>
        <w:t xml:space="preserve">Offline Functionality:</w:t>
      </w:r>
      <w:r>
        <w:t xml:space="preserve"> </w:t>
      </w:r>
      <w:r>
        <w:t xml:space="preserve">Optimized for low-bandwidth rural-urban connectivity patterns in Guangdong's 70% of schools outside downtown Guangzhou</w:t>
      </w:r>
    </w:p>
    <w:bookmarkEnd w:id="24"/>
    <w:bookmarkStart w:id="25" w:name="pricing-strategy-tiered-accessibility"/>
    <w:p>
      <w:pPr>
        <w:pStyle w:val="Heading3"/>
      </w:pPr>
      <w:r>
        <w:t xml:space="preserve">Pricing Strategy: Tiered Accessibility</w:t>
      </w:r>
    </w:p>
    <w:p>
      <w:pPr>
        <w:pStyle w:val="FirstParagraph"/>
      </w:pPr>
      <w:r>
        <w:t xml:space="preserve">A three-tier model ensures broad adoption:</w:t>
      </w:r>
    </w:p>
    <w:p>
      <w:pPr>
        <w:numPr>
          <w:ilvl w:val="0"/>
          <w:numId w:val="1004"/>
        </w:numPr>
        <w:pStyle w:val="Compact"/>
      </w:pPr>
      <w:r>
        <w:rPr>
          <w:iCs/>
          <w:i/>
        </w:rPr>
        <w:t xml:space="preserve">Free Tier:</w:t>
      </w:r>
      <w:r>
        <w:t xml:space="preserve"> </w:t>
      </w:r>
      <w:r>
        <w:t xml:space="preserve">Core physics simulations (5 modules) – optimized for WeChat Mini-Program access</w:t>
      </w:r>
    </w:p>
    <w:p>
      <w:pPr>
        <w:numPr>
          <w:ilvl w:val="0"/>
          <w:numId w:val="1004"/>
        </w:numPr>
        <w:pStyle w:val="Compact"/>
      </w:pPr>
      <w:r>
        <w:rPr>
          <w:iCs/>
          <w:i/>
        </w:rPr>
        <w:t xml:space="preserve">Student Pro ($4.99/month):</w:t>
      </w:r>
      <w:r>
        <w:t xml:space="preserve"> </w:t>
      </w:r>
      <w:r>
        <w:t xml:space="preserve">Full Gaokao prep, AI tutor, and Guangzhou exam trend reports</w:t>
      </w:r>
    </w:p>
    <w:p>
      <w:pPr>
        <w:numPr>
          <w:ilvl w:val="0"/>
          <w:numId w:val="1004"/>
        </w:numPr>
        <w:pStyle w:val="Compact"/>
      </w:pPr>
      <w:r>
        <w:rPr>
          <w:iCs/>
          <w:i/>
        </w:rPr>
        <w:t xml:space="preserve">Institutional License ($80/student/year):</w:t>
      </w:r>
      <w:r>
        <w:t xml:space="preserve"> </w:t>
      </w:r>
      <w:r>
        <w:t xml:space="preserve">School-wide deployment with teacher dashboards – subsidized via Guangzhou Education Bureau grants</w:t>
      </w:r>
    </w:p>
    <w:bookmarkEnd w:id="25"/>
    <w:bookmarkStart w:id="26" w:name="X7d1150f6e25f5d5f27cfc0d07639f1ce650b05d"/>
    <w:p>
      <w:pPr>
        <w:pStyle w:val="Heading3"/>
      </w:pPr>
      <w:r>
        <w:t xml:space="preserve">Place Strategy: Hyperlocal Distribution Channels</w:t>
      </w:r>
    </w:p>
    <w:p>
      <w:pPr>
        <w:pStyle w:val="FirstParagraph"/>
      </w:pPr>
      <w:r>
        <w:t xml:space="preserve">Leveraging Guangzhou's digital ecosystem:</w:t>
      </w:r>
    </w:p>
    <w:p>
      <w:pPr>
        <w:numPr>
          <w:ilvl w:val="0"/>
          <w:numId w:val="1005"/>
        </w:numPr>
        <w:pStyle w:val="Compact"/>
      </w:pPr>
      <w:r>
        <w:rPr>
          <w:iCs/>
          <w:i/>
        </w:rPr>
        <w:t xml:space="preserve">Digital Presence:</w:t>
      </w:r>
      <w:r>
        <w:t xml:space="preserve"> </w:t>
      </w:r>
      <w:r>
        <w:t xml:space="preserve">Dominant placement on WeChat (Guangzhou's #1 platform), Douyin (TikTok China), and Tencent Education apps</w:t>
      </w:r>
    </w:p>
    <w:p>
      <w:pPr>
        <w:numPr>
          <w:ilvl w:val="0"/>
          <w:numId w:val="1005"/>
        </w:numPr>
        <w:pStyle w:val="Compact"/>
      </w:pPr>
      <w:r>
        <w:t xml:space="preserve">Physical Touchpoints: Pop-up "Physics Labs" at Guangzhou Science Museum, Canton Fair, and schools during exam seasons</w:t>
      </w:r>
    </w:p>
    <w:p>
      <w:pPr>
        <w:numPr>
          <w:ilvl w:val="0"/>
          <w:numId w:val="1005"/>
        </w:numPr>
        <w:pStyle w:val="Compact"/>
      </w:pPr>
      <w:r>
        <w:rPr>
          <w:iCs/>
          <w:i/>
        </w:rPr>
        <w:t xml:space="preserve">Partnerships:</w:t>
      </w:r>
      <w:r>
        <w:t xml:space="preserve"> </w:t>
      </w:r>
      <w:r>
        <w:t xml:space="preserve">Integration with local edtech platforms like Zhihuo and school management systems (e.g., Guangzhou Education Cloud)</w:t>
      </w:r>
    </w:p>
    <w:bookmarkEnd w:id="26"/>
    <w:bookmarkStart w:id="27" w:name="X8bb78da0c2c54589278285dce9038f8fc7f6b95"/>
    <w:p>
      <w:pPr>
        <w:pStyle w:val="Heading3"/>
      </w:pPr>
      <w:r>
        <w:t xml:space="preserve">Promotion Strategy: Culturally Resonant Campaigns</w:t>
      </w:r>
    </w:p>
    <w:p>
      <w:pPr>
        <w:pStyle w:val="FirstParagraph"/>
      </w:pPr>
      <w:r>
        <w:t xml:space="preserve">Three integrated campaigns tailored to Guangzhou's psyche:</w:t>
      </w:r>
    </w:p>
    <w:p>
      <w:pPr>
        <w:numPr>
          <w:ilvl w:val="0"/>
          <w:numId w:val="1006"/>
        </w:numPr>
        <w:pStyle w:val="Compact"/>
      </w:pPr>
      <w:r>
        <w:rPr>
          <w:iCs/>
          <w:i/>
        </w:rPr>
        <w:t xml:space="preserve">"Physics of Our City" Social Series:</w:t>
      </w:r>
      <w:r>
        <w:t xml:space="preserve"> </w:t>
      </w:r>
      <w:r>
        <w:t xml:space="preserve">Short videos showing physics principles in daily Guangzhou life (e.g., mechanics of dim sum steamers, acoustics in Chen Clan Ancestral Hall) featuring local influencers</w:t>
      </w:r>
    </w:p>
    <w:p>
      <w:pPr>
        <w:numPr>
          <w:ilvl w:val="0"/>
          <w:numId w:val="1006"/>
        </w:numPr>
        <w:pStyle w:val="Compact"/>
      </w:pPr>
      <w:r>
        <w:rPr>
          <w:iCs/>
          <w:i/>
        </w:rPr>
        <w:t xml:space="preserve">Guangzhou Gaokao Physics Challenge:</w:t>
      </w:r>
      <w:r>
        <w:t xml:space="preserve"> </w:t>
      </w:r>
      <w:r>
        <w:t xml:space="preserve">Collaborative event with 100+ schools offering cash prizes for top-performing teams – promoted via WeChat groups and school newsletters</w:t>
      </w:r>
    </w:p>
    <w:p>
      <w:pPr>
        <w:numPr>
          <w:ilvl w:val="0"/>
          <w:numId w:val="1006"/>
        </w:numPr>
        <w:pStyle w:val="Compact"/>
      </w:pPr>
      <w:r>
        <w:rPr>
          <w:iCs/>
          <w:i/>
        </w:rPr>
        <w:t xml:space="preserve">Educator Ambassador Program:</w:t>
      </w:r>
      <w:r>
        <w:t xml:space="preserve"> </w:t>
      </w:r>
      <w:r>
        <w:t xml:space="preserve">Recruit 200+ Guangzhou physics teachers as brand advocates, providing training and commissions on student sign-ups</w:t>
      </w:r>
    </w:p>
    <w:bookmarkEnd w:id="27"/>
    <w:bookmarkEnd w:id="28"/>
    <w:bookmarkStart w:id="29" w:name="implementation-timeline-guangzhou-launch"/>
    <w:p>
      <w:pPr>
        <w:pStyle w:val="Heading2"/>
      </w:pPr>
      <w:r>
        <w:t xml:space="preserve">Implementation Timeline (Guangzhou Launch)</w:t>
      </w:r>
    </w:p>
    <w:p>
      <w:pPr>
        <w:pStyle w:val="FirstParagraph"/>
      </w:pPr>
      <w:r>
        <w:t xml:space="preserve">Phase</w:t>
      </w:r>
    </w:p>
    <w:p>
      <w:pPr>
        <w:pStyle w:val="BodyText"/>
      </w:pPr>
      <w:r>
        <w:t xml:space="preserve">Timeline</w:t>
      </w:r>
    </w:p>
    <w:p>
      <w:pPr>
        <w:pStyle w:val="BodyText"/>
      </w:pPr>
      <w:r>
        <w:t xml:space="preserve">Action Items</w:t>
      </w:r>
    </w:p>
    <w:p>
      <w:pPr>
        <w:pStyle w:val="BodyText"/>
      </w:pPr>
      <w:r>
        <w:t xml:space="preserve">Pre-Launch Research</w:t>
      </w:r>
    </w:p>
    <w:p>
      <w:pPr>
        <w:pStyle w:val="BodyText"/>
      </w:pPr>
      <w:r>
        <w:t xml:space="preserve">Month 1-2</w:t>
      </w:r>
    </w:p>
    <w:p>
      <w:pPr>
        <w:pStyle w:val="BodyText"/>
      </w:pPr>
      <w:r>
        <w:t xml:space="preserve">Cultural immersion workshops with Guangzhou educators; competitor analysis of local platforms like Yixue Physics Academy</w:t>
      </w:r>
    </w:p>
    <w:p>
      <w:pPr>
        <w:pStyle w:val="BodyText"/>
      </w:pPr>
      <w:r>
        <w:t xml:space="preserve">Local Partnership Building</w:t>
      </w:r>
    </w:p>
    <w:p>
      <w:pPr>
        <w:pStyle w:val="BodyText"/>
      </w:pPr>
      <w:r>
        <w:t xml:space="preserve">Month 3</w:t>
      </w:r>
    </w:p>
    <w:p>
      <w:pPr>
        <w:pStyle w:val="BodyText"/>
      </w:pPr>
      <w:r>
        <w:t xml:space="preserve">Negotiate agreements with Guangzhou Education Bureau and top 10 schools (e.g., Yucai High School)</w:t>
      </w:r>
    </w:p>
    <w:p>
      <w:pPr>
        <w:pStyle w:val="BodyText"/>
      </w:pPr>
      <w:r>
        <w:t xml:space="preserve">Marketing Blitz</w:t>
      </w:r>
    </w:p>
    <w:p>
      <w:pPr>
        <w:pStyle w:val="BodyText"/>
      </w:pPr>
      <w:r>
        <w:t xml:space="preserve">Month 4-5</w:t>
      </w:r>
    </w:p>
    <w:p>
      <w:pPr>
        <w:pStyle w:val="BodyText"/>
      </w:pPr>
      <w:r>
        <w:t xml:space="preserve">Leverage Guangzhou's "Education Expo" for physical launch; deploy social media campaigns across WeChat/Douyin targeting parents and students</w:t>
      </w:r>
    </w:p>
    <w:p>
      <w:pPr>
        <w:pStyle w:val="BodyText"/>
      </w:pPr>
      <w:r>
        <w:t xml:space="preserve">Sustainability Phase</w:t>
      </w:r>
    </w:p>
    <w:p>
      <w:pPr>
        <w:pStyle w:val="BodyText"/>
      </w:pPr>
      <w:r>
        <w:t xml:space="preserve">Month 6+</w:t>
      </w:r>
    </w:p>
    <w:p>
      <w:pPr>
        <w:pStyle w:val="BodyText"/>
      </w:pPr>
      <w:r>
        <w:t xml:space="preserve">Integrate user feedback into product updates; expand to Shenzhen/Foshan via Guangzhou's success story</w:t>
      </w:r>
    </w:p>
    <w:bookmarkEnd w:id="29"/>
    <w:bookmarkStart w:id="30" w:name="budget-allocation-guangzhou-focus"/>
    <w:p>
      <w:pPr>
        <w:pStyle w:val="Heading2"/>
      </w:pPr>
      <w:r>
        <w:t xml:space="preserve">Budget Allocation (Guangzhou Focus)</w:t>
      </w:r>
    </w:p>
    <w:p>
      <w:pPr>
        <w:pStyle w:val="FirstParagraph"/>
      </w:pPr>
      <w:r>
        <w:t xml:space="preserve">Total investment: $850,000</w:t>
      </w:r>
    </w:p>
    <w:p>
      <w:pPr>
        <w:numPr>
          <w:ilvl w:val="0"/>
          <w:numId w:val="1007"/>
        </w:numPr>
        <w:pStyle w:val="Compact"/>
      </w:pPr>
      <w:r>
        <w:t xml:space="preserve">Product Localization: $180,000 (curriculum adaptation, Cantonese voiceovers)</w:t>
      </w:r>
    </w:p>
    <w:p>
      <w:pPr>
        <w:numPr>
          <w:ilvl w:val="0"/>
          <w:numId w:val="1007"/>
        </w:numPr>
        <w:pStyle w:val="Compact"/>
      </w:pPr>
      <w:r>
        <w:t xml:space="preserve">Digital Marketing: $325,000 (WeChat/Douyin ads targeting Guangzhou geolocation + school IDs)</w:t>
      </w:r>
    </w:p>
    <w:p>
      <w:pPr>
        <w:numPr>
          <w:ilvl w:val="0"/>
          <w:numId w:val="1007"/>
        </w:numPr>
        <w:pStyle w:val="Compact"/>
      </w:pPr>
      <w:r>
        <w:t xml:space="preserve">Partnership Development: $245,000 (education bureau incentives, teacher training programs)</w:t>
      </w:r>
    </w:p>
    <w:p>
      <w:pPr>
        <w:numPr>
          <w:ilvl w:val="0"/>
          <w:numId w:val="1007"/>
        </w:numPr>
        <w:pStyle w:val="Compact"/>
      </w:pPr>
      <w:r>
        <w:t xml:space="preserve">Analytics &amp; Optimization: $100,000 (real-time user behavior tracking for Guangzhou-specific adjustments)</w:t>
      </w:r>
    </w:p>
    <w:bookmarkEnd w:id="30"/>
    <w:bookmarkStart w:id="31" w:name="evaluation-metrics"/>
    <w:p>
      <w:pPr>
        <w:pStyle w:val="Heading2"/>
      </w:pPr>
      <w:r>
        <w:t xml:space="preserve">Evaluation Metrics</w:t>
      </w:r>
    </w:p>
    <w:p>
      <w:pPr>
        <w:pStyle w:val="FirstParagraph"/>
      </w:pPr>
      <w:r>
        <w:t xml:space="preserve">Success will be measured through:</w:t>
      </w:r>
    </w:p>
    <w:p>
      <w:pPr>
        <w:numPr>
          <w:ilvl w:val="0"/>
          <w:numId w:val="1008"/>
        </w:numPr>
        <w:pStyle w:val="Compact"/>
      </w:pPr>
      <w:r>
        <w:rPr>
          <w:iCs/>
          <w:i/>
        </w:rPr>
        <w:t xml:space="preserve">User Acquisition:</w:t>
      </w:r>
      <w:r>
        <w:t xml:space="preserve"> </w:t>
      </w:r>
      <w:r>
        <w:t xml:space="preserve">Monthly active users (MAU) in Guangzhou (target: 50,000 by Month 6)</w:t>
      </w:r>
    </w:p>
    <w:p>
      <w:pPr>
        <w:numPr>
          <w:ilvl w:val="0"/>
          <w:numId w:val="1008"/>
        </w:numPr>
        <w:pStyle w:val="Compact"/>
      </w:pPr>
      <w:r>
        <w:rPr>
          <w:iCs/>
          <w:i/>
        </w:rPr>
        <w:t xml:space="preserve">Engagement Rate:</w:t>
      </w:r>
      <w:r>
        <w:t xml:space="preserve"> </w:t>
      </w:r>
      <w:r>
        <w:t xml:space="preserve">Average session duration exceeding 22 minutes per user (vs. industry avg. of 14 mins)</w:t>
      </w:r>
    </w:p>
    <w:p>
      <w:pPr>
        <w:numPr>
          <w:ilvl w:val="0"/>
          <w:numId w:val="1008"/>
        </w:numPr>
        <w:pStyle w:val="Compact"/>
      </w:pPr>
      <w:r>
        <w:rPr>
          <w:iCs/>
          <w:i/>
        </w:rPr>
        <w:t xml:space="preserve">School Adoption:</w:t>
      </w:r>
      <w:r>
        <w:t xml:space="preserve"> </w:t>
      </w:r>
      <w:r>
        <w:t xml:space="preserve">Number of institutional contracts signed (target: 25+ in Year 1)</w:t>
      </w:r>
    </w:p>
    <w:p>
      <w:pPr>
        <w:numPr>
          <w:ilvl w:val="0"/>
          <w:numId w:val="1008"/>
        </w:numPr>
        <w:pStyle w:val="Compact"/>
      </w:pPr>
      <w:r>
        <w:rPr>
          <w:iCs/>
          <w:i/>
        </w:rPr>
        <w:t xml:space="preserve">Brand Sentiment:</w:t>
      </w:r>
      <w:r>
        <w:t xml:space="preserve"> </w:t>
      </w:r>
      <w:r>
        <w:t xml:space="preserve">WeChat word-of-mouth score ≥4.7/5 through local community monitoring</w:t>
      </w:r>
    </w:p>
    <w:bookmarkEnd w:id="31"/>
    <w:bookmarkStart w:id="32" w:name="why-guangzhou-the-strategic-imperative"/>
    <w:p>
      <w:pPr>
        <w:pStyle w:val="Heading2"/>
      </w:pPr>
      <w:r>
        <w:t xml:space="preserve">Why Guangzhou? The Strategic Imperative</w:t>
      </w:r>
    </w:p>
    <w:p>
      <w:pPr>
        <w:pStyle w:val="FirstParagraph"/>
      </w:pPr>
      <w:r>
        <w:t xml:space="preserve">The Physicist's entry into Guangzhou isn't merely about market expansion – it's about becoming the catalyst for China's physics education transformation. As the economic engine of Southern China, Guangzhou offers immediate access to 5% of China's total student population in a region where government support for STEM is at its highest. By embedding The Physicist into Guangzhou's educational fabric through culturally intelligent execution, we position ourselves not just to succeed locally but to set the standard for national expansion. This Marketing Plan ensures every strategy – from Cantonese-language content to Guangzhou Education Bureau partnerships – delivers tangible value while celebrating the city's unique identity as "The Physicist" becomes inseparable from Guangzhou's scientific future.</w:t>
      </w:r>
    </w:p>
    <w:p>
      <w:pPr>
        <w:pStyle w:val="BodyText"/>
      </w:pPr>
      <w:r>
        <w:rPr>
          <w:bCs/>
          <w:b/>
        </w:rPr>
        <w:t xml:space="preserve">Conclusion:</w:t>
      </w:r>
      <w:r>
        <w:t xml:space="preserve"> </w:t>
      </w:r>
      <w:r>
        <w:t xml:space="preserve">The Physicist’s journey in China Guangzhou represents a strategic inflection point for physics education. Through hyperlocal adaptation, this plan transforms technical expertise into community value, turning Guangzhou’s STEM ambitions into measurable growth. By Month 12, The Physicist will be the most recognized physics brand across South China – proving that when science meets culture with precision, extraordinary results follow.</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The Physicist - Guangzhou Expansion Strategy</dc:title>
  <dc:creator/>
  <dc:language>en</dc:language>
  <cp:keywords/>
  <dcterms:created xsi:type="dcterms:W3CDTF">2026-07-20T23:24:17Z</dcterms:created>
  <dcterms:modified xsi:type="dcterms:W3CDTF">2026-07-20T23:24:17Z</dcterms:modified>
</cp:coreProperties>
</file>

<file path=docProps/custom.xml><?xml version="1.0" encoding="utf-8"?>
<Properties xmlns="http://schemas.openxmlformats.org/officeDocument/2006/custom-properties" xmlns:vt="http://schemas.openxmlformats.org/officeDocument/2006/docPropsVTypes"/>
</file>