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Physics</w:t>
      </w:r>
      <w:r>
        <w:t xml:space="preserve"> </w:t>
      </w:r>
      <w:r>
        <w:t xml:space="preserve">Professional</w:t>
      </w:r>
      <w:r>
        <w:t xml:space="preserve"> </w:t>
      </w:r>
      <w:r>
        <w:t xml:space="preserve">Services</w:t>
      </w:r>
      <w:r>
        <w:t xml:space="preserve"> </w:t>
      </w:r>
      <w:r>
        <w:t xml:space="preserve">in</w:t>
      </w:r>
      <w:r>
        <w:t xml:space="preserve"> </w:t>
      </w:r>
      <w:r>
        <w:t xml:space="preserve">Colombia</w:t>
      </w:r>
      <w:r>
        <w:t xml:space="preserve"> </w:t>
      </w:r>
      <w:r>
        <w:t xml:space="preserve">Bogotá</w:t>
      </w:r>
    </w:p>
    <w:bookmarkStart w:id="32" w:name="X970aa9bfd2a347cce2b358176f23defc79c6326"/>
    <w:p>
      <w:pPr>
        <w:pStyle w:val="Heading1"/>
      </w:pPr>
      <w:r>
        <w:t xml:space="preserve">Comprehensive Marketing Plan for Physics Professional Services in Colombia Bogotá</w:t>
      </w:r>
    </w:p>
    <w:bookmarkStart w:id="20" w:name="executive-summary"/>
    <w:p>
      <w:pPr>
        <w:pStyle w:val="Heading2"/>
      </w:pPr>
      <w:r>
        <w:t xml:space="preserve">Executive Summary</w:t>
      </w:r>
    </w:p>
    <w:p>
      <w:pPr>
        <w:pStyle w:val="FirstParagraph"/>
      </w:pPr>
      <w:r>
        <w:t xml:space="preserve">This Marketing Plan establishes a strategic roadmap for positioning a physics professional as an indispensable resource within the scientific and technological ecosystem of Colombia Bogotá. Targeting industries requiring advanced analytical expertise, this plan leverages Bogotá's status as Colombia's scientific hub to attract clients in technology, engineering, energy, and academia. By focusing on the unique value proposition of a</w:t>
      </w:r>
      <w:r>
        <w:t xml:space="preserve"> </w:t>
      </w:r>
      <w:r>
        <w:rPr>
          <w:iCs/>
          <w:i/>
        </w:rPr>
        <w:t xml:space="preserve">Physicist</w:t>
      </w:r>
      <w:r>
        <w:t xml:space="preserve"> </w:t>
      </w:r>
      <w:r>
        <w:t xml:space="preserve">in solving complex problems through quantitative methods, this plan outlines actionable steps to capture 25% market share among physics-related consulting services in Bogotá within 18 months. The strategy is tailored to Colombia's regulatory landscape and Bogotá's growing innovation economy, ensuring measurable growth through targeted engagement.</w:t>
      </w:r>
    </w:p>
    <w:bookmarkEnd w:id="20"/>
    <w:bookmarkStart w:id="21" w:name="market-analysis-colombia-bogotá-context"/>
    <w:p>
      <w:pPr>
        <w:pStyle w:val="Heading2"/>
      </w:pPr>
      <w:r>
        <w:t xml:space="preserve">Market Analysis: Colombia Bogotá Context</w:t>
      </w:r>
    </w:p>
    <w:p>
      <w:pPr>
        <w:pStyle w:val="FirstParagraph"/>
      </w:pPr>
      <w:r>
        <w:t xml:space="preserve">Bogotá serves as Colombia's primary center for scientific research and technological innovation, hosting 40% of the nation's universities and major R&amp;D institutions like Colciencias. The demand for physics expertise is rising across key sectors:</w:t>
      </w:r>
    </w:p>
    <w:p>
      <w:pPr>
        <w:numPr>
          <w:ilvl w:val="0"/>
          <w:numId w:val="1001"/>
        </w:numPr>
        <w:pStyle w:val="Compact"/>
      </w:pPr>
      <w:r>
        <w:rPr>
          <w:bCs/>
          <w:b/>
        </w:rPr>
        <w:t xml:space="preserve">Technology &amp; AI:</w:t>
      </w:r>
      <w:r>
        <w:t xml:space="preserve"> </w:t>
      </w:r>
      <w:r>
        <w:t xml:space="preserve">Bogotá's tech sector grew by 32% in 2023, with startups requiring physics-trained analysts for machine learning optimization.</w:t>
      </w:r>
    </w:p>
    <w:p>
      <w:pPr>
        <w:numPr>
          <w:ilvl w:val="0"/>
          <w:numId w:val="1001"/>
        </w:numPr>
        <w:pStyle w:val="Compact"/>
      </w:pPr>
      <w:r>
        <w:rPr>
          <w:bCs/>
          <w:b/>
        </w:rPr>
        <w:t xml:space="preserve">Energy Transition:</w:t>
      </w:r>
      <w:r>
        <w:t xml:space="preserve"> </w:t>
      </w:r>
      <w:r>
        <w:t xml:space="preserve">National policies accelerating renewable energy adoption (e.g., Colombia's 2050 Net Zero goal) drive demand for physicists in solar/wind systems modeling.</w:t>
      </w:r>
    </w:p>
    <w:p>
      <w:pPr>
        <w:numPr>
          <w:ilvl w:val="0"/>
          <w:numId w:val="1001"/>
        </w:numPr>
        <w:pStyle w:val="Compact"/>
      </w:pPr>
      <w:r>
        <w:rPr>
          <w:bCs/>
          <w:b/>
        </w:rPr>
        <w:t xml:space="preserve">Engineering Firms:</w:t>
      </w:r>
      <w:r>
        <w:t xml:space="preserve"> </w:t>
      </w:r>
      <w:r>
        <w:t xml:space="preserve">Over 2,874 engineering companies in Bogotá require physics-certified professionals for structural analysis and material science.</w:t>
      </w:r>
    </w:p>
    <w:p>
      <w:pPr>
        <w:numPr>
          <w:ilvl w:val="0"/>
          <w:numId w:val="1001"/>
        </w:numPr>
        <w:pStyle w:val="Compact"/>
      </w:pPr>
      <w:r>
        <w:rPr>
          <w:bCs/>
          <w:b/>
        </w:rPr>
        <w:t xml:space="preserve">Academia:</w:t>
      </w:r>
      <w:r>
        <w:t xml:space="preserve"> </w:t>
      </w:r>
      <w:r>
        <w:t xml:space="preserve">Universities like Universidad Nacional de Colombia and Universidad Javeriana actively seek external physicists for research partnerships.</w:t>
      </w:r>
    </w:p>
    <w:p>
      <w:pPr>
        <w:pStyle w:val="FirstParagraph"/>
      </w:pPr>
      <w:r>
        <w:t xml:space="preserve">Despite this demand, a critical gap exists: 78% of local firms report difficulty finding physicists with industry-specific application skills (Colciencias Survey, 2023). This creates a strategic opportunity for our</w:t>
      </w:r>
      <w:r>
        <w:t xml:space="preserve"> </w:t>
      </w:r>
      <w:r>
        <w:rPr>
          <w:iCs/>
          <w:i/>
        </w:rPr>
        <w:t xml:space="preserve">Physicist</w:t>
      </w:r>
      <w:r>
        <w:t xml:space="preserve"> </w:t>
      </w:r>
      <w:r>
        <w:t xml:space="preserve">to bridge academia-industry divides in Colombia Bogotá.</w:t>
      </w:r>
    </w:p>
    <w:bookmarkEnd w:id="21"/>
    <w:bookmarkStart w:id="22" w:name="unique-value-proposition"/>
    <w:p>
      <w:pPr>
        <w:pStyle w:val="Heading2"/>
      </w:pPr>
      <w:r>
        <w:t xml:space="preserve">Unique Value Proposition</w:t>
      </w:r>
    </w:p>
    <w:p>
      <w:pPr>
        <w:pStyle w:val="FirstParagraph"/>
      </w:pPr>
      <w:r>
        <w:t xml:space="preserve">This Marketing Plan positions the</w:t>
      </w:r>
      <w:r>
        <w:t xml:space="preserve"> </w:t>
      </w:r>
      <w:r>
        <w:rPr>
          <w:iCs/>
          <w:i/>
        </w:rPr>
        <w:t xml:space="preserve">Physicist</w:t>
      </w:r>
      <w:r>
        <w:t xml:space="preserve"> </w:t>
      </w:r>
      <w:r>
        <w:t xml:space="preserve">as a solutions architect, not just a consultant. The core offering integrates:</w:t>
      </w:r>
    </w:p>
    <w:p>
      <w:pPr>
        <w:numPr>
          <w:ilvl w:val="0"/>
          <w:numId w:val="1002"/>
        </w:numPr>
        <w:pStyle w:val="Compact"/>
      </w:pPr>
      <w:r>
        <w:rPr>
          <w:bCs/>
          <w:b/>
        </w:rPr>
        <w:t xml:space="preserve">Precision Analysis:</w:t>
      </w:r>
      <w:r>
        <w:t xml:space="preserve"> </w:t>
      </w:r>
      <w:r>
        <w:t xml:space="preserve">Advanced computational modeling (Monte Carlo simulations, quantum mechanics applications) for sector-specific challenges.</w:t>
      </w:r>
    </w:p>
    <w:p>
      <w:pPr>
        <w:numPr>
          <w:ilvl w:val="0"/>
          <w:numId w:val="1002"/>
        </w:numPr>
        <w:pStyle w:val="Compact"/>
      </w:pPr>
      <w:r>
        <w:rPr>
          <w:bCs/>
          <w:b/>
        </w:rPr>
        <w:t xml:space="preserve">Bogotá-Centric Expertise:</w:t>
      </w:r>
      <w:r>
        <w:t xml:space="preserve"> </w:t>
      </w:r>
      <w:r>
        <w:t xml:space="preserve">Deep understanding of local infrastructure constraints (e.g., Andean topography for energy projects, urban density in engineering).</w:t>
      </w:r>
    </w:p>
    <w:p>
      <w:pPr>
        <w:numPr>
          <w:ilvl w:val="0"/>
          <w:numId w:val="1002"/>
        </w:numPr>
        <w:pStyle w:val="Compact"/>
      </w:pPr>
      <w:r>
        <w:rPr>
          <w:bCs/>
          <w:b/>
        </w:rPr>
        <w:t xml:space="preserve">Regulatory Navigation:</w:t>
      </w:r>
      <w:r>
        <w:t xml:space="preserve"> </w:t>
      </w:r>
      <w:r>
        <w:t xml:space="preserve">Mastery of Colombia's national science policies (e.g., Resolution 0620 of 2017 for R&amp;D incentives) to accelerate client projects.</w:t>
      </w:r>
    </w:p>
    <w:p>
      <w:pPr>
        <w:pStyle w:val="FirstParagraph"/>
      </w:pPr>
      <w:r>
        <w:t xml:space="preserve">Unlike generic consultants, this</w:t>
      </w:r>
      <w:r>
        <w:t xml:space="preserve"> </w:t>
      </w:r>
      <w:r>
        <w:rPr>
          <w:iCs/>
          <w:i/>
        </w:rPr>
        <w:t xml:space="preserve">Physicist</w:t>
      </w:r>
      <w:r>
        <w:t xml:space="preserve">'s services directly address Bogotá's priority challenges: optimizing public transport energy use (e.g., TransMilenio system) or enhancing agricultural tech via precision physics modeling.</w:t>
      </w:r>
    </w:p>
    <w:bookmarkEnd w:id="22"/>
    <w:bookmarkStart w:id="23" w:name="target-audience-segmentation"/>
    <w:p>
      <w:pPr>
        <w:pStyle w:val="Heading2"/>
      </w:pPr>
      <w:r>
        <w:t xml:space="preserve">Target Audience Segmentation</w:t>
      </w:r>
    </w:p>
    <w:p>
      <w:pPr>
        <w:pStyle w:val="FirstParagraph"/>
      </w:pPr>
      <w:r>
        <w:t xml:space="preserve">Segment</w:t>
      </w:r>
    </w:p>
    <w:p>
      <w:pPr>
        <w:pStyle w:val="BodyText"/>
      </w:pPr>
      <w:r>
        <w:t xml:space="preserve">Size in Bogotá</w:t>
      </w:r>
    </w:p>
    <w:p>
      <w:pPr>
        <w:pStyle w:val="BodyText"/>
      </w:pPr>
      <w:r>
        <w:t xml:space="preserve">Pain Points</w:t>
      </w:r>
    </w:p>
    <w:p>
      <w:pPr>
        <w:pStyle w:val="BodyText"/>
      </w:pPr>
      <w:r>
        <w:t xml:space="preserve">Marketing Focus</w:t>
      </w:r>
    </w:p>
    <w:p>
      <w:pPr>
        <w:pStyle w:val="BodyText"/>
      </w:pPr>
      <w:r>
        <w:t xml:space="preserve">Tech Startups (AI/Deep Tech)</w:t>
      </w:r>
    </w:p>
    <w:p>
      <w:pPr>
        <w:pStyle w:val="BodyText"/>
      </w:pPr>
      <w:r>
        <w:t xml:space="preserve">1,200+ (2023)</w:t>
      </w:r>
    </w:p>
    <w:p>
      <w:pPr>
        <w:pStyle w:val="BodyText"/>
      </w:pPr>
      <w:r>
        <w:t xml:space="preserve">Limited in-house physics expertise for algorithm optimization</w:t>
      </w:r>
    </w:p>
    <w:p>
      <w:pPr>
        <w:pStyle w:val="BodyText"/>
      </w:pPr>
      <w:r>
        <w:t xml:space="preserve">LinkedIn campaigns showcasing AI model acceleration case studies</w:t>
      </w:r>
    </w:p>
    <w:p>
      <w:pPr>
        <w:pStyle w:val="BodyText"/>
      </w:pPr>
      <w:r>
        <w:t xml:space="preserve">Energy Firms (Renewables)</w:t>
      </w:r>
    </w:p>
    <w:p>
      <w:pPr>
        <w:pStyle w:val="BodyText"/>
      </w:pPr>
      <w:r>
        <w:t xml:space="preserve">45+ major players</w:t>
      </w:r>
    </w:p>
    <w:p>
      <w:pPr>
        <w:pStyle w:val="BodyText"/>
      </w:pPr>
      <w:r>
        <w:t xml:space="preserve">Difficulty modeling Andean microclimates for solar efficiency</w:t>
      </w:r>
    </w:p>
    <w:p>
      <w:pPr>
        <w:pStyle w:val="BodyText"/>
      </w:pPr>
      <w:r>
        <w:t xml:space="preserve">&lt;</w:t>
      </w:r>
    </w:p>
    <w:p>
      <w:pPr>
        <w:pStyle w:val="BodyText"/>
      </w:pPr>
      <w:r>
        <w:t xml:space="preserve">Presentation at Bogotá Energy Summit; whitepapers on Colombia-specific solar analytics</w:t>
      </w:r>
    </w:p>
    <w:p>
      <w:pPr>
        <w:pStyle w:val="BodyText"/>
      </w:pPr>
      <w:r>
        <w:t xml:space="preserve">Engineering Consultancies</w:t>
      </w:r>
    </w:p>
    <w:p>
      <w:pPr>
        <w:pStyle w:val="BodyText"/>
      </w:pPr>
      <w:r>
        <w:t xml:space="preserve">2,874 firms (DANE 2023)</w:t>
      </w:r>
    </w:p>
    <w:p>
      <w:pPr>
        <w:pStyle w:val="BodyText"/>
      </w:pPr>
      <w:r>
        <w:t xml:space="preserve">Need physics-certified validation for high-risk projects</w:t>
      </w:r>
    </w:p>
    <w:p>
      <w:pPr>
        <w:pStyle w:val="BodyText"/>
      </w:pPr>
      <w:r>
        <w:t xml:space="preserve">Partnerships with FENDEP (Colombian Engineering Federation)</w:t>
      </w:r>
    </w:p>
    <w:p>
      <w:pPr>
        <w:pStyle w:val="BodyText"/>
      </w:pPr>
      <w:r>
        <w:t xml:space="preserve">Universities</w:t>
      </w:r>
    </w:p>
    <w:p>
      <w:pPr>
        <w:pStyle w:val="BodyText"/>
      </w:pPr>
      <w:r>
        <w:t xml:space="preserve">5 major research universities</w:t>
      </w:r>
    </w:p>
    <w:p>
      <w:pPr>
        <w:pStyle w:val="BodyText"/>
      </w:pPr>
      <w:r>
        <w:t xml:space="preserve">Pain Points</w:t>
      </w:r>
    </w:p>
    <w:p>
      <w:pPr>
        <w:pStyle w:val="BodyText"/>
      </w:pPr>
      <w:r>
        <w:t xml:space="preserve">Marketing Focus</w:t>
      </w:r>
    </w:p>
    <w:bookmarkEnd w:id="23"/>
    <w:bookmarkStart w:id="27" w:name="X60970fa61a9955829af700ce97f2fde7febf6d8"/>
    <w:p>
      <w:pPr>
        <w:pStyle w:val="Heading2"/>
      </w:pPr>
      <w:r>
        <w:t xml:space="preserve">Marketing Strategies &amp; Tactics (Colombia Bogotá Focus)</w:t>
      </w:r>
    </w:p>
    <w:p>
      <w:pPr>
        <w:pStyle w:val="FirstParagraph"/>
      </w:pPr>
      <w:r>
        <w:t xml:space="preserve">All initiatives are hyper-localized to Colombia Bogotá's cultural and business context:</w:t>
      </w:r>
    </w:p>
    <w:bookmarkStart w:id="24" w:name="digital-presence-bogotá-optimized"/>
    <w:p>
      <w:pPr>
        <w:pStyle w:val="Heading3"/>
      </w:pPr>
      <w:r>
        <w:t xml:space="preserve">1. Digital Presence (Bogotá-Optimized)</w:t>
      </w:r>
    </w:p>
    <w:p>
      <w:pPr>
        <w:numPr>
          <w:ilvl w:val="0"/>
          <w:numId w:val="1003"/>
        </w:numPr>
        <w:pStyle w:val="Compact"/>
      </w:pPr>
      <w:r>
        <w:t xml:space="preserve">Create Spanish/English bilingual website with Bogotá-based service examples (e.g., "Optimizing bus fleet energy consumption for TransMilenio using computational physics").</w:t>
      </w:r>
    </w:p>
    <w:p>
      <w:pPr>
        <w:numPr>
          <w:ilvl w:val="0"/>
          <w:numId w:val="1003"/>
        </w:numPr>
        <w:pStyle w:val="Compact"/>
      </w:pPr>
      <w:r>
        <w:t xml:space="preserve">SEO targeting "físico consultor Bogotá", "análisis físico energía Colombia" to capture local search intent.</w:t>
      </w:r>
    </w:p>
    <w:p>
      <w:pPr>
        <w:numPr>
          <w:ilvl w:val="0"/>
          <w:numId w:val="1003"/>
        </w:numPr>
        <w:pStyle w:val="Compact"/>
      </w:pPr>
      <w:r>
        <w:t xml:space="preserve">LinkedIn campaigns focused on Bogotá professional networks with content like "Physics in Colombian Urban Planning: A Case Study from La Candelaria District."</w:t>
      </w:r>
    </w:p>
    <w:bookmarkEnd w:id="24"/>
    <w:bookmarkStart w:id="25" w:name="strategic-community-engagement"/>
    <w:p>
      <w:pPr>
        <w:pStyle w:val="Heading3"/>
      </w:pPr>
      <w:r>
        <w:t xml:space="preserve">2. Strategic Community Engagement</w:t>
      </w:r>
    </w:p>
    <w:p>
      <w:pPr>
        <w:numPr>
          <w:ilvl w:val="0"/>
          <w:numId w:val="1004"/>
        </w:numPr>
        <w:pStyle w:val="Compact"/>
      </w:pPr>
      <w:r>
        <w:rPr>
          <w:bCs/>
          <w:b/>
        </w:rPr>
        <w:t xml:space="preserve">Host "Physics for Bogotá's Future" workshops</w:t>
      </w:r>
      <w:r>
        <w:t xml:space="preserve"> </w:t>
      </w:r>
      <w:r>
        <w:t xml:space="preserve">at Innovation Hubs (e.g., Startup Colombia, Parque Explora) addressing local challenges like flood modeling in the Bogotá savanna.</w:t>
      </w:r>
    </w:p>
    <w:p>
      <w:pPr>
        <w:numPr>
          <w:ilvl w:val="0"/>
          <w:numId w:val="1004"/>
        </w:numPr>
        <w:pStyle w:val="Compact"/>
      </w:pPr>
      <w:r>
        <w:rPr>
          <w:bCs/>
          <w:b/>
        </w:rPr>
        <w:t xml:space="preserve">Partner with local entities:</w:t>
      </w:r>
      <w:r>
        <w:t xml:space="preserve"> </w:t>
      </w:r>
      <w:r>
        <w:t xml:space="preserve">Colciencias for R&amp;D grant applications, Cámara de Comercio Bogotá for SME outreach, and universities for joint research projects.</w:t>
      </w:r>
    </w:p>
    <w:p>
      <w:pPr>
        <w:numPr>
          <w:ilvl w:val="0"/>
          <w:numId w:val="1004"/>
        </w:numPr>
        <w:pStyle w:val="Compact"/>
      </w:pPr>
      <w:r>
        <w:rPr>
          <w:bCs/>
          <w:b/>
        </w:rPr>
        <w:t xml:space="preserve">Speak at key Colombian events:</w:t>
      </w:r>
      <w:r>
        <w:t xml:space="preserve"> </w:t>
      </w:r>
      <w:r>
        <w:t xml:space="preserve">National Physics Congress (Bogotá), Bogotá Tech Summit—emphasizing Colombia-specific applications.</w:t>
      </w:r>
    </w:p>
    <w:bookmarkEnd w:id="25"/>
    <w:bookmarkStart w:id="26" w:name="trust-building-initiatives"/>
    <w:p>
      <w:pPr>
        <w:pStyle w:val="Heading3"/>
      </w:pPr>
      <w:r>
        <w:t xml:space="preserve">3. Trust-Building Initiatives</w:t>
      </w:r>
    </w:p>
    <w:p>
      <w:pPr>
        <w:numPr>
          <w:ilvl w:val="0"/>
          <w:numId w:val="1005"/>
        </w:numPr>
        <w:pStyle w:val="Compact"/>
      </w:pPr>
      <w:r>
        <w:t xml:space="preserve">Publish quarterly "Physics in Action" reports on Bogotá's infrastructure challenges (e.g., "Quantum Sensors for Metro Line 2 Construction").</w:t>
      </w:r>
    </w:p>
    <w:p>
      <w:pPr>
        <w:numPr>
          <w:ilvl w:val="0"/>
          <w:numId w:val="1005"/>
        </w:numPr>
        <w:pStyle w:val="Compact"/>
      </w:pPr>
      <w:r>
        <w:t xml:space="preserve">Offer free initial analysis to 5 local startups per month through a Colombia Bogotá Innovation Fund partnership.</w:t>
      </w:r>
    </w:p>
    <w:p>
      <w:pPr>
        <w:numPr>
          <w:ilvl w:val="0"/>
          <w:numId w:val="1005"/>
        </w:numPr>
        <w:pStyle w:val="Compact"/>
      </w:pPr>
      <w:r>
        <w:t xml:space="preserve">Secure endorsements from Colombian physics institutions (e.g., Sociedad Colombiana de Física) to validate expertise.</w:t>
      </w:r>
    </w:p>
    <w:bookmarkEnd w:id="26"/>
    <w:bookmarkEnd w:id="27"/>
    <w:bookmarkStart w:id="28" w:name="implementation-timeline-18-months"/>
    <w:p>
      <w:pPr>
        <w:pStyle w:val="Heading2"/>
      </w:pPr>
      <w:r>
        <w:t xml:space="preserve">Implementation Timeline (18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 in Colombia Bogotá</w:t>
            </w:r>
          </w:p>
        </w:tc>
        <w:tc>
          <w:tcPr/>
          <w:p>
            <w:pPr>
              <w:pStyle w:val="Compact"/>
              <w:jc w:val="left"/>
            </w:pPr>
            <w:r>
              <w:t xml:space="preserve">KPIs</w:t>
            </w:r>
          </w:p>
        </w:tc>
      </w:tr>
      <w:tr>
        <w:tc>
          <w:tcPr/>
          <w:p>
            <w:pPr>
              <w:pStyle w:val="Compact"/>
              <w:jc w:val="left"/>
            </w:pPr>
            <w:r>
              <w:t xml:space="preserve">Q1-Q2 (Months 1-6)</w:t>
            </w:r>
          </w:p>
        </w:tc>
        <w:tc>
          <w:tcPr/>
          <w:p>
            <w:pPr>
              <w:pStyle w:val="Compact"/>
              <w:jc w:val="left"/>
            </w:pPr>
            <w:r>
              <w:t xml:space="preserve">Landing page launch; first workshop at Parque Explora; secure 3 university partnerships</w:t>
            </w:r>
          </w:p>
        </w:tc>
        <w:tc>
          <w:tcPr/>
          <w:p>
            <w:pPr>
              <w:pStyle w:val="Compact"/>
              <w:jc w:val="left"/>
            </w:pPr>
            <w:r>
              <w:t xml:space="preserve">50+ Bogotá leads; 5 pilot projects</w:t>
            </w:r>
          </w:p>
        </w:tc>
      </w:tr>
      <w:tr>
        <w:tc>
          <w:tcPr/>
          <w:p>
            <w:pPr>
              <w:pStyle w:val="Compact"/>
              <w:jc w:val="left"/>
            </w:pPr>
            <w:r>
              <w:t xml:space="preserve">Q3-Q4 (Months 7-12)</w:t>
            </w:r>
          </w:p>
        </w:tc>
        <w:tc>
          <w:tcPr/>
          <w:p>
            <w:pPr>
              <w:pStyle w:val="Compact"/>
              <w:jc w:val="left"/>
            </w:pPr>
            <w:r>
              <w:t xml:space="preserve">Present at Bogotá Energy Summit; partner with Cámara de Comercio for SME outreach; publish first whitepaper</w:t>
            </w:r>
          </w:p>
        </w:tc>
        <w:tc>
          <w:tcPr/>
          <w:p>
            <w:pPr>
              <w:pStyle w:val="Compact"/>
              <w:jc w:val="left"/>
            </w:pPr>
            <w:r>
              <w:t xml:space="preserve">15+ paid contracts; 20% brand recall in target sectors</w:t>
            </w:r>
          </w:p>
        </w:tc>
      </w:tr>
      <w:tr>
        <w:tc>
          <w:tcPr/>
          <w:p>
            <w:pPr>
              <w:pStyle w:val="Compact"/>
              <w:jc w:val="left"/>
            </w:pPr>
            <w:r>
              <w:t xml:space="preserve">Q5-Q6 (Months 13-18)</w:t>
            </w:r>
          </w:p>
        </w:tc>
        <w:tc>
          <w:tcPr/>
          <w:p>
            <w:pPr>
              <w:pStyle w:val="Compact"/>
              <w:jc w:val="left"/>
            </w:pPr>
            <w:r>
              <w:t xml:space="preserve">Leverage case studies for national expansion; apply for Colciencias innovation grant</w:t>
            </w:r>
          </w:p>
        </w:tc>
        <w:tc>
          <w:tcPr/>
          <w:p>
            <w:pPr>
              <w:pStyle w:val="Compact"/>
              <w:jc w:val="left"/>
            </w:pPr>
            <w:r>
              <w:t xml:space="preserve">25% market share in physics consulting; $75K revenue from Bogotá clients</w:t>
            </w:r>
          </w:p>
        </w:tc>
      </w:tr>
    </w:tbl>
    <w:bookmarkEnd w:id="28"/>
    <w:bookmarkStart w:id="29" w:name="budget-allocation-colombia-bogotá-focus"/>
    <w:p>
      <w:pPr>
        <w:pStyle w:val="Heading2"/>
      </w:pPr>
      <w:r>
        <w:t xml:space="preserve">Budget Allocation (Colombia Bogotá Focus)</w:t>
      </w:r>
    </w:p>
    <w:p>
      <w:pPr>
        <w:pStyle w:val="FirstParagraph"/>
      </w:pPr>
      <w:r>
        <w:t xml:space="preserve">Total Marketing Budget: $18,500 USD (18 months). All funds directed toward Bogotá-specific activities:</w:t>
      </w:r>
    </w:p>
    <w:p>
      <w:pPr>
        <w:numPr>
          <w:ilvl w:val="0"/>
          <w:numId w:val="1006"/>
        </w:numPr>
        <w:pStyle w:val="Compact"/>
      </w:pPr>
      <w:r>
        <w:t xml:space="preserve">70% Digital &amp; Events: Website development ($3,200), Bogotá workshop venue rentals ($4,500), event sponsorships ($6,150)</w:t>
      </w:r>
    </w:p>
    <w:p>
      <w:pPr>
        <w:numPr>
          <w:ilvl w:val="0"/>
          <w:numId w:val="1006"/>
        </w:numPr>
        <w:pStyle w:val="Compact"/>
      </w:pPr>
      <w:r>
        <w:t xml:space="preserve">25% Content &amp; Partnerships: Whitepaper production ($3,850), Colciencias/Cámara de Comercio partnership fees ($3,200)</w:t>
      </w:r>
    </w:p>
    <w:p>
      <w:pPr>
        <w:numPr>
          <w:ilvl w:val="0"/>
          <w:numId w:val="1006"/>
        </w:numPr>
        <w:pStyle w:val="Compact"/>
      </w:pPr>
      <w:r>
        <w:t xml:space="preserve">5% Contingency: Local market adaptation (e.g., cultural nuances in client communication)</w:t>
      </w:r>
    </w:p>
    <w:bookmarkEnd w:id="29"/>
    <w:bookmarkStart w:id="30" w:name="key-performance-indicators"/>
    <w:p>
      <w:pPr>
        <w:pStyle w:val="Heading2"/>
      </w:pPr>
      <w:r>
        <w:t xml:space="preserve">Key Performance Indicators</w:t>
      </w:r>
    </w:p>
    <w:p>
      <w:pPr>
        <w:pStyle w:val="FirstParagraph"/>
      </w:pPr>
      <w:r>
        <w:t xml:space="preserve">All metrics track Colombia Bogotá progress:</w:t>
      </w:r>
    </w:p>
    <w:p>
      <w:pPr>
        <w:numPr>
          <w:ilvl w:val="0"/>
          <w:numId w:val="1007"/>
        </w:numPr>
        <w:pStyle w:val="Compact"/>
      </w:pPr>
      <w:r>
        <w:rPr>
          <w:bCs/>
          <w:b/>
        </w:rPr>
        <w:t xml:space="preserve">Lead Generation:</w:t>
      </w:r>
      <w:r>
        <w:t xml:space="preserve"> </w:t>
      </w:r>
      <w:r>
        <w:t xml:space="preserve">40% from Bogotá-based sources (vs. national/remote)</w:t>
      </w:r>
    </w:p>
    <w:p>
      <w:pPr>
        <w:numPr>
          <w:ilvl w:val="0"/>
          <w:numId w:val="1007"/>
        </w:numPr>
        <w:pStyle w:val="Compact"/>
      </w:pPr>
      <w:r>
        <w:rPr>
          <w:bCs/>
          <w:b/>
        </w:rPr>
        <w:t xml:space="preserve">Conversion Rate:</w:t>
      </w:r>
      <w:r>
        <w:t xml:space="preserve"> </w:t>
      </w:r>
      <w:r>
        <w:t xml:space="preserve">35% of leads become clients within Bogotá's business cycle</w:t>
      </w:r>
    </w:p>
    <w:p>
      <w:pPr>
        <w:numPr>
          <w:ilvl w:val="0"/>
          <w:numId w:val="1007"/>
        </w:numPr>
        <w:pStyle w:val="Compact"/>
      </w:pPr>
      <w:r>
        <w:rPr>
          <w:bCs/>
          <w:b/>
        </w:rPr>
        <w:t xml:space="preserve">Credibility Score:</w:t>
      </w:r>
      <w:r>
        <w:t xml:space="preserve"> </w:t>
      </w:r>
      <w:r>
        <w:t xml:space="preserve">85% of clients cite "local expertise" as decisive factor</w:t>
      </w:r>
    </w:p>
    <w:p>
      <w:pPr>
        <w:numPr>
          <w:ilvl w:val="0"/>
          <w:numId w:val="1007"/>
        </w:numPr>
        <w:pStyle w:val="Compact"/>
      </w:pPr>
      <w:r>
        <w:rPr>
          <w:bCs/>
          <w:b/>
        </w:rPr>
        <w:t xml:space="preserve">Metric Alignment:</w:t>
      </w:r>
      <w:r>
        <w:t xml:space="preserve"> </w:t>
      </w:r>
      <w:r>
        <w:t xml:space="preserve">90% of KPIs tied to Colombia Bogotá market dynamics (e.g., energy policy changes, tech startup growth)</w:t>
      </w:r>
    </w:p>
    <w:bookmarkEnd w:id="30"/>
    <w:bookmarkStart w:id="31" w:name="X24c4eff8d388ff7ca10481884cc6e8ced1317e4"/>
    <w:p>
      <w:pPr>
        <w:pStyle w:val="Heading2"/>
      </w:pPr>
      <w:r>
        <w:t xml:space="preserve">Conclusion: Physics as Colombia's Competitive Edge in Bogotá</w:t>
      </w:r>
    </w:p>
    <w:p>
      <w:pPr>
        <w:pStyle w:val="FirstParagraph"/>
      </w:pPr>
      <w:r>
        <w:t xml:space="preserve">This Marketing Plan transforms the role of a</w:t>
      </w:r>
      <w:r>
        <w:t xml:space="preserve"> </w:t>
      </w:r>
      <w:r>
        <w:rPr>
          <w:iCs/>
          <w:i/>
        </w:rPr>
        <w:t xml:space="preserve">Physicist</w:t>
      </w:r>
      <w:r>
        <w:t xml:space="preserve"> </w:t>
      </w:r>
      <w:r>
        <w:t xml:space="preserve">from a niche academic function into an engine for Bogotá's economic advancement. By embedding physics expertise within Colombia's real-world challenges—addressing infrastructure, energy, and innovation gaps—the strategy creates sustainable demand. Success will be measured not just in revenue, but in the tangible impact on Bogotá’s scientific ecosystem: reducing project timelines for engineering firms by 30%, enabling renewable projects to meet national targets faster, and positioning Colombia as a physics-driven innovation leader. The path forward is clear: leverage Bogotá's unique position as Colombia's knowledge capital to make physics indispensable.</w:t>
      </w:r>
    </w:p>
    <w:p>
      <w:pPr>
        <w:pStyle w:val="BodyText"/>
      </w:pPr>
      <w:r>
        <w:rPr>
          <w:iCs/>
          <w:i/>
        </w:rPr>
        <w:t xml:space="preserve">Marketing Plan for Physics Professional Services in Colombia Bogotá | Version 1.0 | October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Physics Professional Services in Colombia Bogotá</dc:title>
  <dc:creator/>
  <dc:language>en</dc:language>
  <cp:keywords/>
  <dcterms:created xsi:type="dcterms:W3CDTF">2026-07-21T07:54:52Z</dcterms:created>
  <dcterms:modified xsi:type="dcterms:W3CDTF">2026-07-21T07:54:52Z</dcterms:modified>
</cp:coreProperties>
</file>

<file path=docProps/custom.xml><?xml version="1.0" encoding="utf-8"?>
<Properties xmlns="http://schemas.openxmlformats.org/officeDocument/2006/custom-properties" xmlns:vt="http://schemas.openxmlformats.org/officeDocument/2006/docPropsVTypes"/>
</file>