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Physics</w:t>
      </w:r>
      <w:r>
        <w:t xml:space="preserve"> </w:t>
      </w:r>
      <w:r>
        <w:t xml:space="preserve">Consulting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Medellín,</w:t>
      </w:r>
      <w:r>
        <w:t xml:space="preserve"> </w:t>
      </w:r>
      <w:r>
        <w:t xml:space="preserve">Colombia</w:t>
      </w:r>
    </w:p>
    <w:bookmarkStart w:id="33" w:name="X0cb1001c8dbea5d59cb5bbabcd43c1bbef517b8"/>
    <w:p>
      <w:pPr>
        <w:pStyle w:val="Heading1"/>
      </w:pPr>
      <w:r>
        <w:t xml:space="preserve">Comprehensive Marketing Plan for Physics Professional Services in Medellín, Colombia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position a specialized physicist as the leading consulting expert in Medellín, Colombia. Focusing on high-value applications of physics principles in industrial, technological, and educational sectors across Antioquia, we target businesses seeking innovative solutions for energy efficiency, structural analysis, and R&amp;D optimization. With Medellín's rapid urbanization and growing tech ecosystem (including the Medellín Innovation District), this plan capitalizes on unmet demand for physics-driven problem-solving in Colombia's second-largest city. Our strategy will establish market leadership within 18 months through localized expertise, strategic partnerships, and culturally resonant marketing—delivering 40% client acquisition growth by Year Two.</w:t>
      </w:r>
    </w:p>
    <w:bookmarkEnd w:id="20"/>
    <w:bookmarkStart w:id="21" w:name="X52a52d13098c430506dd58e72fbf2c59d901146"/>
    <w:p>
      <w:pPr>
        <w:pStyle w:val="Heading2"/>
      </w:pPr>
      <w:r>
        <w:t xml:space="preserve">Market Analysis: Medellín &amp; Colombia Context</w:t>
      </w:r>
    </w:p>
    <w:p>
      <w:pPr>
        <w:pStyle w:val="FirstParagraph"/>
      </w:pPr>
      <w:r>
        <w:t xml:space="preserve">Medellín's economic transformation—from a city associated with violence to a global innovation hub—creates unique opportunities. The city hosts over 350 tech startups (including 15% in hardware/sensors), 47 universities, and major industries like manufacturing, construction, and renewable energy. However,</w:t>
      </w:r>
      <w:r>
        <w:t xml:space="preserve"> </w:t>
      </w:r>
      <w:r>
        <w:rPr>
          <w:iCs/>
          <w:i/>
        </w:rPr>
        <w:t xml:space="preserve">Colombia Medellín</w:t>
      </w:r>
      <w:r>
        <w:t xml:space="preserve"> </w:t>
      </w:r>
      <w:r>
        <w:t xml:space="preserve">faces critical challenges requiring physics expertise: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Inefficiency:</w:t>
      </w:r>
      <w:r>
        <w:t xml:space="preserve"> </w:t>
      </w:r>
      <w:r>
        <w:t xml:space="preserve">Industrial facilities waste 28% of energy (MINERGIA 2023), demanding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Strain:</w:t>
      </w:r>
      <w:r>
        <w:t xml:space="preserve"> </w:t>
      </w:r>
      <w:r>
        <w:t xml:space="preserve">Rapid metro expansion and hillside construction require structural physics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R&amp;D Gaps:</w:t>
      </w:r>
      <w:r>
        <w:t xml:space="preserve"> </w:t>
      </w:r>
      <w:r>
        <w:t xml:space="preserve">Only 1.4% of Colombian GDP funds R&amp;D (vs. OECD average 2.4%), leaving physics applications underutilized.</w:t>
      </w:r>
    </w:p>
    <w:p>
      <w:pPr>
        <w:pStyle w:val="FirstParagraph"/>
      </w:pPr>
      <w:r>
        <w:t xml:space="preserve">Competitors are limited to university-affiliated labs and foreign consultancies charging premium rates with cultural disconnects. A local</w:t>
      </w:r>
      <w:r>
        <w:t xml:space="preserve"> </w:t>
      </w:r>
      <w:r>
        <w:rPr>
          <w:iCs/>
          <w:i/>
        </w:rPr>
        <w:t xml:space="preserve">Physicist</w:t>
      </w:r>
      <w:r>
        <w:t xml:space="preserve"> </w:t>
      </w:r>
      <w:r>
        <w:t xml:space="preserve">specializing in Medellín's context—understanding microclimates, urban density challenges, and Colombia's regulatory landscape—offers a decisive advantage.</w:t>
      </w:r>
    </w:p>
    <w:bookmarkEnd w:id="21"/>
    <w:bookmarkStart w:id="22" w:name="target-market-segmentation"/>
    <w:p>
      <w:pPr>
        <w:pStyle w:val="Heading2"/>
      </w:pPr>
      <w:r>
        <w:t xml:space="preserve">Target Market Segmentation</w:t>
      </w:r>
    </w:p>
    <w:p>
      <w:pPr>
        <w:pStyle w:val="FirstParagraph"/>
      </w:pPr>
      <w:r>
        <w:t xml:space="preserve">We prioritize three high-impact segments in</w:t>
      </w:r>
      <w:r>
        <w:t xml:space="preserve"> </w:t>
      </w:r>
      <w:r>
        <w:rPr>
          <w:iCs/>
          <w:i/>
        </w:rPr>
        <w:t xml:space="preserve">Colombia Medellín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Industrial Manufacturers (45% of target):</w:t>
      </w:r>
      <w:r>
        <w:t xml:space="preserve"> </w:t>
      </w:r>
      <w:r>
        <w:t xml:space="preserve">Companies like AECID and EPM seeking energy audits and process optimization. Average project value: $12,000–$35,000.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Construction &amp; Infrastructure Firms (35%):</w:t>
      </w:r>
      <w:r>
        <w:t xml:space="preserve"> </w:t>
      </w:r>
      <w:r>
        <w:t xml:space="preserve">Firms such as Sika Colombia requiring physics-based structural assessments for Medellín's steep terrain.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Educational Institutions (20%):</w:t>
      </w:r>
      <w:r>
        <w:t xml:space="preserve"> </w:t>
      </w:r>
      <w:r>
        <w:t xml:space="preserve">Universidad de Antioquia and local tech schools needing lab development and curriculum support for physics education.</w:t>
      </w:r>
    </w:p>
    <w:bookmarkEnd w:id="22"/>
    <w:bookmarkStart w:id="23" w:name="X694a685466f592d08840b8b52e53f269baca628"/>
    <w:p>
      <w:pPr>
        <w:pStyle w:val="Heading2"/>
      </w:pPr>
      <w:r>
        <w:t xml:space="preserve">Unique Value Proposition: The Medellín Physics Advantage</w:t>
      </w:r>
    </w:p>
    <w:p>
      <w:pPr>
        <w:pStyle w:val="FirstParagraph"/>
      </w:pPr>
      <w:r>
        <w:t xml:space="preserve">Beyond technical expertise, we differentiate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 Knowledge:</w:t>
      </w:r>
      <w:r>
        <w:t xml:space="preserve"> </w:t>
      </w:r>
      <w:r>
        <w:t xml:space="preserve">Understanding Medellín's specific challenges (e.g., microclimates affecting solar panel efficiency, seismic risks in mountainous zones).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Bilingual (Spanish/English) consultations respecting Colombian business etiquette and community dynamics.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Impact:</w:t>
      </w:r>
      <w:r>
        <w:t xml:space="preserve"> </w:t>
      </w:r>
      <w:r>
        <w:t xml:space="preserve">Solutions aligned with Medellín's "Green City" initiative—e.g., optimizing public transport energy use via physics modeling.</w:t>
      </w:r>
    </w:p>
    <w:p>
      <w:pPr>
        <w:pStyle w:val="FirstParagraph"/>
      </w:pPr>
      <w:r>
        <w:t xml:space="preserve">Our tagline: "</w:t>
      </w:r>
      <w:r>
        <w:rPr>
          <w:iCs/>
          <w:i/>
        </w:rPr>
        <w:t xml:space="preserve">Física con Corazón: Physics Solutions Rooted in Medellín</w:t>
      </w:r>
      <w:r>
        <w:t xml:space="preserve">"—blending technical rigor with local empathy.</w:t>
      </w:r>
    </w:p>
    <w:bookmarkEnd w:id="23"/>
    <w:bookmarkStart w:id="28" w:name="marketing-strategies"/>
    <w:p>
      <w:pPr>
        <w:pStyle w:val="Heading2"/>
      </w:pPr>
      <w:r>
        <w:t xml:space="preserve">Marketing Strategies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We offer tiered services tailored to Medellín's economy: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Bronze:</w:t>
      </w:r>
      <w:r>
        <w:t xml:space="preserve"> </w:t>
      </w:r>
      <w:r>
        <w:t xml:space="preserve">4-hour energy assessment ($850) for SMEs—ideal for micro-businesses in Medellín's industrial zones.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Pricing reflects local purchasing power while ensuring profitability. We avoid foreign consultancy markups (common in Colombia), offering 20% lower rates than international firms for comparable services. Payment plans are available in COP, aligning with Colombian business practices.</w:t>
      </w:r>
    </w:p>
    <w:bookmarkEnd w:id="25"/>
    <w:bookmarkStart w:id="26" w:name="distribution-local-partnerships"/>
    <w:p>
      <w:pPr>
        <w:pStyle w:val="Heading3"/>
      </w:pPr>
      <w:r>
        <w:t xml:space="preserve">Distribution &amp; Local Partnerships</w:t>
      </w:r>
    </w:p>
    <w:p>
      <w:pPr>
        <w:pStyle w:val="FirstParagraph"/>
      </w:pPr>
      <w:r>
        <w:t xml:space="preserve">We leverage Medellín's collaborative culture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Alliances:</w:t>
      </w:r>
      <w:r>
        <w:t xml:space="preserve"> </w:t>
      </w:r>
      <w:r>
        <w:t xml:space="preserve">Partnering with Medellín Chamber of Commerce and Cámara Colombiana de la Construcción for lead referrals.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Niche Community Engagement:</w:t>
      </w:r>
      <w:r>
        <w:t xml:space="preserve"> </w:t>
      </w:r>
      <w:r>
        <w:t xml:space="preserve">Sponsoring "Innovación en Física" workshops at Parque Explora (Medellín's science museum) to build trust.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Access:</w:t>
      </w:r>
      <w:r>
        <w:t xml:space="preserve"> </w:t>
      </w:r>
      <w:r>
        <w:t xml:space="preserve">Mobile-first platform (WhatsApp/Telegram integration) for service requests—critical in Colombia's 95% smartphone adoption market.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Our culturally attuned campaigns focus on Medellín's identity: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"Física en Acción" YouTube series documenting case studies (e.g., "How we cut energy costs 32% for a Medellín textile factory").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Events:</w:t>
      </w:r>
      <w:r>
        <w:t xml:space="preserve"> </w:t>
      </w:r>
      <w:r>
        <w:t xml:space="preserve">Hosting free "Physics Breakfasts" at La Alpujarra (Medellín's tech hub) featuring local success stories.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Digital Ads:</w:t>
      </w:r>
      <w:r>
        <w:t xml:space="preserve"> </w:t>
      </w:r>
      <w:r>
        <w:t xml:space="preserve">Geo-targeted Facebook/Instagram campaigns in Medellín using colloquial Spanish and visuals of local landmarks (e.g., Parque Arví).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Landing page launch; partner agreements with Medellín Chamber of Commerce; first "Physics Breakfast" event.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Deploy mobile service platform; launch YouTube series; secure first Gold-tier contract with a Medellín-based renewable energy firm.</w:t>
      </w:r>
    </w:p>
    <w:p>
      <w:pPr>
        <w:pStyle w:val="BodyText"/>
      </w:pPr>
      <w:r>
        <w:t xml:space="preserve">Q1 2025</w:t>
      </w:r>
    </w:p>
    <w:p>
      <w:pPr>
        <w:pStyle w:val="BodyText"/>
      </w:pPr>
      <w:r>
        <w:t xml:space="preserve">Expand to Cali/Bogotá via Medellín success case studies; develop university curriculum partnership with EAFIT.</w:t>
      </w:r>
    </w:p>
    <w:bookmarkEnd w:id="29"/>
    <w:bookmarkStart w:id="30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Year 1 Budget: $48,500 (USD)</w:t>
      </w:r>
    </w:p>
    <w:p>
      <w:pPr>
        <w:numPr>
          <w:ilvl w:val="0"/>
          <w:numId w:val="1007"/>
        </w:numPr>
        <w:pStyle w:val="Compact"/>
      </w:pPr>
      <w:r>
        <w:t xml:space="preserve">Marketing &amp; Events: 45% ($21,825) – Dominated by localized events and digital campaigns.</w:t>
      </w:r>
    </w:p>
    <w:p>
      <w:pPr>
        <w:numPr>
          <w:ilvl w:val="0"/>
          <w:numId w:val="1007"/>
        </w:numPr>
        <w:pStyle w:val="Compact"/>
      </w:pPr>
      <w:r>
        <w:t xml:space="preserve">Partnership Development: 30% ($14,550) – Including co-marketing with Medellín institutions.</w:t>
      </w:r>
    </w:p>
    <w:p>
      <w:pPr>
        <w:numPr>
          <w:ilvl w:val="0"/>
          <w:numId w:val="1007"/>
        </w:numPr>
        <w:pStyle w:val="Compact"/>
      </w:pPr>
      <w:r>
        <w:t xml:space="preserve">Technology: 15% ($7,275) – Mobile platform development for Colombian market needs.</w:t>
      </w:r>
    </w:p>
    <w:p>
      <w:pPr>
        <w:numPr>
          <w:ilvl w:val="0"/>
          <w:numId w:val="1007"/>
        </w:numPr>
        <w:pStyle w:val="Compact"/>
      </w:pPr>
      <w:r>
        <w:t xml:space="preserve">Contingency: 10% ($4,850)</w:t>
      </w:r>
    </w:p>
    <w:bookmarkEnd w:id="30"/>
    <w:bookmarkStart w:id="31" w:name="evaluation-kpis"/>
    <w:p>
      <w:pPr>
        <w:pStyle w:val="Heading2"/>
      </w:pPr>
      <w:r>
        <w:t xml:space="preserve">Evaluation &amp; KPIs</w:t>
      </w:r>
    </w:p>
    <w:p>
      <w:pPr>
        <w:pStyle w:val="FirstParagraph"/>
      </w:pPr>
      <w:r>
        <w:t xml:space="preserve">We track success through Medellín-specific metrics: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Target: &lt;$1,800 per client (below industry average of $2,500 in Colombia).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Target: 15% of physics consulting sector in Medellín by Year 2.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Measured via event attendance (target: 80+ per workshop) and referral rates from local partners.</w:t>
      </w:r>
    </w:p>
    <w:bookmarkEnd w:id="31"/>
    <w:bookmarkStart w:id="32" w:name="Xb638007386005a7646f4a0eafc6416870f4fd0d"/>
    <w:p>
      <w:pPr>
        <w:pStyle w:val="Heading2"/>
      </w:pPr>
      <w:r>
        <w:t xml:space="preserve">Conclusion: Physics as a Catalyst for Medellín's Future</w:t>
      </w:r>
    </w:p>
    <w:p>
      <w:pPr>
        <w:pStyle w:val="FirstParagraph"/>
      </w:pPr>
      <w:r>
        <w:t xml:space="preserve">This marketing plan transcends traditional service promotion by embedding the</w:t>
      </w:r>
      <w:r>
        <w:t xml:space="preserve"> </w:t>
      </w:r>
      <w:r>
        <w:rPr>
          <w:iCs/>
          <w:i/>
        </w:rPr>
        <w:t xml:space="preserve">Physicist</w:t>
      </w:r>
      <w:r>
        <w:t xml:space="preserve">'s expertise within Medellín's socio-economic fabric. By addressing Colombia's specific needs—energy inefficiency in urban centers, infrastructure demands of mountainous terrain, and the need for localized R&amp;D—we position physics not as an abstract discipline but as a practical engine for Medellín’s growth. As the city evolves into a global innovation model, our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ensures that physics professionals become indispensable partners in its journey. In a market where technical solutions often lack cultural nuance, this strategy delivers value through authenticity: physics grounded in Medellín, for Medellín.</w:t>
      </w:r>
    </w:p>
    <w:p>
      <w:pPr>
        <w:pStyle w:val="BodyText"/>
      </w:pPr>
      <w:r>
        <w:rPr>
          <w:bCs/>
          <w:b/>
        </w:rPr>
        <w:t xml:space="preserve">Total Word Count: 867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Physics Consulting Services in Medellín, Colombia</dc:title>
  <dc:creator/>
  <dc:language>en</dc:language>
  <cp:keywords/>
  <dcterms:created xsi:type="dcterms:W3CDTF">2026-07-23T12:49:53Z</dcterms:created>
  <dcterms:modified xsi:type="dcterms:W3CDTF">2026-07-23T12:49:53Z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