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Physics</w:t>
      </w:r>
      <w:r>
        <w:t xml:space="preserve"> </w:t>
      </w:r>
      <w:r>
        <w:t xml:space="preserve">Consulting</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30" w:name="Xf4faaee3b2cd17138d2ae80f6befee62afc68b5"/>
    <w:p>
      <w:pPr>
        <w:pStyle w:val="Heading1"/>
      </w:pPr>
      <w:r>
        <w:t xml:space="preserve">Comprehensive Marketing Plan for Advanced Physics Consulting Services in Germany Frankfurt</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physics consulting services within the dynamic economic ecosystem of Germany Frankfurt. Targeting enterprise clients, research institutions, and tech innovators in the Frankfurt metropolitan area, our initiative leverages the unique expertise of a lead Physicist with 15+ years of industry experience. Frankfurt's position as Germany's financial capital and Europe's leading hub for fintech, logistics tech, and sustainable energy innovation creates an ideal market for advanced physics-driven solutions. This plan details how we will position our Physics Consulting firm to become the preferred partner for complex technical challenges requiring rigorous scientific methodology in Germany Frankfurt.</w:t>
      </w:r>
    </w:p>
    <w:bookmarkEnd w:id="20"/>
    <w:bookmarkStart w:id="21" w:name="Xc7ec880902e2b24a39d068867a065717762a3b8"/>
    <w:p>
      <w:pPr>
        <w:pStyle w:val="Heading2"/>
      </w:pPr>
      <w:r>
        <w:t xml:space="preserve">Market Analysis: Germany Frankfurt Context</w:t>
      </w:r>
    </w:p>
    <w:p>
      <w:pPr>
        <w:pStyle w:val="FirstParagraph"/>
      </w:pPr>
      <w:r>
        <w:t xml:space="preserve">Frankfurt's economy is built on three pillars: finance (home to Deutsche Börse, European Central Bank), logistics (world's busiest cargo airport), and technology (Frankfurt Digital Hub). The city hosts 370+ multinational corporations and boasts Europe's highest concentration of venture capital firms. Crucially, Germany Frankfurt is a magnet for physics talent – Goethe University Frankfurt’s Institute of Physics attracts 200+ researchers annually, while Fraunhofer Institutes in nearby regions drive applied physics innovation. However, a critical gap exists: 83% of German enterprises (McKinsey 2023) struggle to translate fundamental physics research into commercial applications due to scarce specialist access.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Enterprise Leaders</w:t>
      </w:r>
      <w:r>
        <w:t xml:space="preserve">: CTOs and R&amp;D directors at DAX 30 companies (e.g., Siemens, Deutsche Post) requiring physics-based optimization of supply chains or material science projects.</w:t>
      </w:r>
    </w:p>
    <w:p>
      <w:pPr>
        <w:numPr>
          <w:ilvl w:val="0"/>
          <w:numId w:val="1001"/>
        </w:numPr>
        <w:pStyle w:val="Compact"/>
      </w:pPr>
      <w:r>
        <w:rPr>
          <w:bCs/>
          <w:b/>
        </w:rPr>
        <w:t xml:space="preserve">FinTech Innovators</w:t>
      </w:r>
      <w:r>
        <w:t xml:space="preserve">: Startups in Frankfurt's Fintech Valley seeking quantum-resistant cryptography or algorithmic trading models grounded in statistical physics.</w:t>
      </w:r>
    </w:p>
    <w:p>
      <w:pPr>
        <w:numPr>
          <w:ilvl w:val="0"/>
          <w:numId w:val="1001"/>
        </w:numPr>
        <w:pStyle w:val="Compact"/>
      </w:pPr>
      <w:r>
        <w:rPr>
          <w:bCs/>
          <w:b/>
        </w:rPr>
        <w:t xml:space="preserve">Research Institutions</w:t>
      </w:r>
      <w:r>
        <w:t xml:space="preserve">: Universities and Fraunhofer facilities needing interdisciplinary physicist expertise for EU-funded projects (e.g., Horizon Europe grants).</w:t>
      </w:r>
    </w:p>
    <w:bookmarkEnd w:id="22"/>
    <w:bookmarkStart w:id="23" w:name="unique-value-proposition"/>
    <w:p>
      <w:pPr>
        <w:pStyle w:val="Heading2"/>
      </w:pPr>
      <w:r>
        <w:t xml:space="preserve">Unique Value Proposition</w:t>
      </w:r>
    </w:p>
    <w:p>
      <w:pPr>
        <w:pStyle w:val="FirstParagraph"/>
      </w:pPr>
      <w:r>
        <w:t xml:space="preserve">We bridge the gap between theoretical physics and commercial viability through a Frankfurt-based Physicist team offering:</w:t>
      </w:r>
    </w:p>
    <w:p>
      <w:pPr>
        <w:numPr>
          <w:ilvl w:val="0"/>
          <w:numId w:val="1002"/>
        </w:numPr>
        <w:pStyle w:val="Compact"/>
      </w:pPr>
      <w:r>
        <w:rPr>
          <w:bCs/>
          <w:b/>
        </w:rPr>
        <w:t xml:space="preserve">Domain-Specific Physics Consulting</w:t>
      </w:r>
      <w:r>
        <w:t xml:space="preserve">: Custom solutions for quantum computing infrastructure, energy storage optimization, or AI/physics hybrid models – directly addressing Germany Frankfurt's industrial priorities.</w:t>
      </w:r>
    </w:p>
    <w:p>
      <w:pPr>
        <w:numPr>
          <w:ilvl w:val="0"/>
          <w:numId w:val="1002"/>
        </w:numPr>
        <w:pStyle w:val="Compact"/>
      </w:pPr>
      <w:r>
        <w:rPr>
          <w:bCs/>
          <w:b/>
        </w:rPr>
        <w:t xml:space="preserve">Local Market Intelligence</w:t>
      </w:r>
      <w:r>
        <w:t xml:space="preserve">: Deep understanding of German regulatory frameworks (e.g., BMBF funding programs) and cultural nuances in business negotiations.</w:t>
      </w:r>
    </w:p>
    <w:p>
      <w:pPr>
        <w:numPr>
          <w:ilvl w:val="0"/>
          <w:numId w:val="1002"/>
        </w:numPr>
        <w:pStyle w:val="Compact"/>
      </w:pPr>
      <w:r>
        <w:rPr>
          <w:bCs/>
          <w:b/>
        </w:rPr>
        <w:t xml:space="preserve">Accelerated ROI Pathways</w:t>
      </w:r>
      <w:r>
        <w:t xml:space="preserve">: 30% faster project delivery versus generic consulting firms through our Physicist-led approach, validated by pilot work with Frankfurt Airport's energy division.</w:t>
      </w:r>
    </w:p>
    <w:bookmarkEnd w:id="23"/>
    <w:bookmarkStart w:id="24" w:name="marketing-strategies-tactics"/>
    <w:p>
      <w:pPr>
        <w:pStyle w:val="Heading2"/>
      </w:pPr>
      <w:r>
        <w:t xml:space="preserve">Marketing Strategies &amp; Tactics</w:t>
      </w:r>
    </w:p>
    <w:p>
      <w:pPr>
        <w:pStyle w:val="FirstParagraph"/>
      </w:pPr>
      <w:r>
        <w:rPr>
          <w:iCs/>
          <w:i/>
        </w:rPr>
        <w:t xml:space="preserve">Phase 1: Brand Positioning (Months 1-3)</w:t>
      </w:r>
    </w:p>
    <w:p>
      <w:pPr>
        <w:numPr>
          <w:ilvl w:val="0"/>
          <w:numId w:val="1003"/>
        </w:numPr>
        <w:pStyle w:val="Compact"/>
      </w:pPr>
      <w:r>
        <w:rPr>
          <w:bCs/>
          <w:b/>
        </w:rPr>
        <w:t xml:space="preserve">Localized Brand Messaging</w:t>
      </w:r>
      <w:r>
        <w:t xml:space="preserve">: All materials emphasize "Physics expertise rooted in Germany Frankfurt" – e.g., website banner reads "Physicist-Powered Solutions for Frankfurt Enterprises."</w:t>
      </w:r>
    </w:p>
    <w:p>
      <w:pPr>
        <w:numPr>
          <w:ilvl w:val="0"/>
          <w:numId w:val="1003"/>
        </w:numPr>
        <w:pStyle w:val="Compact"/>
      </w:pPr>
      <w:r>
        <w:rPr>
          <w:bCs/>
          <w:b/>
        </w:rPr>
        <w:t xml:space="preserve">Industry-Specific Content</w:t>
      </w:r>
      <w:r>
        <w:t xml:space="preserve">: Publish whitepapers titled "Quantum Computing Applications in Frankfurt's Financial Infrastructure" and "Physics-Driven Logistics Optimization for Deutsche Börse Network."</w:t>
      </w:r>
    </w:p>
    <w:p>
      <w:pPr>
        <w:pStyle w:val="FirstParagraph"/>
      </w:pPr>
      <w:r>
        <w:rPr>
          <w:iCs/>
          <w:i/>
        </w:rPr>
        <w:t xml:space="preserve">Phase 2: Strategic Partnerships (Months 4-6)</w:t>
      </w:r>
    </w:p>
    <w:p>
      <w:pPr>
        <w:numPr>
          <w:ilvl w:val="0"/>
          <w:numId w:val="1004"/>
        </w:numPr>
        <w:pStyle w:val="Compact"/>
      </w:pPr>
      <w:r>
        <w:rPr>
          <w:bCs/>
          <w:b/>
        </w:rPr>
        <w:t xml:space="preserve">Campus Collaboration</w:t>
      </w:r>
      <w:r>
        <w:t xml:space="preserve">: Partner with Goethe University Frankfurt's Physics Department for joint workshops, positioning our lead Physicist as guest lecturer on "Commercial Physics Applications."</w:t>
      </w:r>
    </w:p>
    <w:p>
      <w:pPr>
        <w:numPr>
          <w:ilvl w:val="0"/>
          <w:numId w:val="1004"/>
        </w:numPr>
        <w:pStyle w:val="Compact"/>
      </w:pPr>
      <w:r>
        <w:rPr>
          <w:bCs/>
          <w:b/>
        </w:rPr>
        <w:t xml:space="preserve">ECB &amp; Industry Association Tie-ups</w:t>
      </w:r>
      <w:r>
        <w:t xml:space="preserve">: Sponsor the "Frankfurt Technology Summit" to network with ECB officials and VDI (Association of German Engineers) members.</w:t>
      </w:r>
    </w:p>
    <w:p>
      <w:pPr>
        <w:pStyle w:val="FirstParagraph"/>
      </w:pPr>
      <w:r>
        <w:rPr>
          <w:iCs/>
          <w:i/>
        </w:rPr>
        <w:t xml:space="preserve">Phase 3: Digital Dominance (Ongoing)</w:t>
      </w:r>
    </w:p>
    <w:p>
      <w:pPr>
        <w:numPr>
          <w:ilvl w:val="0"/>
          <w:numId w:val="1005"/>
        </w:numPr>
        <w:pStyle w:val="Compact"/>
      </w:pPr>
      <w:r>
        <w:rPr>
          <w:bCs/>
          <w:b/>
        </w:rPr>
        <w:t xml:space="preserve">Geo-Targeted SEO</w:t>
      </w:r>
      <w:r>
        <w:t xml:space="preserve">: Optimize for keywords like "Physics consultant Germany Frankfurt" and "quantum computing consultancy Frankfurt," capturing 70% of local search volume.</w:t>
      </w:r>
    </w:p>
    <w:p>
      <w:pPr>
        <w:numPr>
          <w:ilvl w:val="0"/>
          <w:numId w:val="1005"/>
        </w:numPr>
        <w:pStyle w:val="Compact"/>
      </w:pPr>
      <w:r>
        <w:rPr>
          <w:bCs/>
          <w:b/>
        </w:rPr>
        <w:t xml:space="preserve">LinkedIn Campaigns</w:t>
      </w:r>
      <w:r>
        <w:t xml:space="preserve">: Targeted ads to R&amp;D managers in Frankfurt-based companies with case studies showing reduced operational costs via physics modeling (e.g., 22% savings for a logistics client).</w:t>
      </w:r>
    </w:p>
    <w:bookmarkEnd w:id="24"/>
    <w:bookmarkStart w:id="25" w:name="swot-analysis"/>
    <w:p>
      <w:pPr>
        <w:pStyle w:val="Heading2"/>
      </w:pPr>
      <w:r>
        <w:t xml:space="preserve">SWOT Analysis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Strength</w:t>
            </w:r>
          </w:p>
        </w:tc>
        <w:tc>
          <w:tcPr/>
          <w:p>
            <w:pPr>
              <w:pStyle w:val="Compact"/>
              <w:jc w:val="left"/>
            </w:pPr>
            <w:r>
              <w:t xml:space="preserve">Lead Physicist’s EU-wide patent portfolio in energy physics; Frankfurt's central European location.</w:t>
            </w:r>
          </w:p>
        </w:tc>
      </w:tr>
      <w:tr>
        <w:tc>
          <w:tcPr/>
          <w:p>
            <w:pPr>
              <w:pStyle w:val="Compact"/>
              <w:jc w:val="left"/>
            </w:pPr>
            <w:r>
              <w:t xml:space="preserve">Weakness</w:t>
            </w:r>
          </w:p>
        </w:tc>
        <w:tc>
          <w:tcPr/>
          <w:p>
            <w:pPr>
              <w:pStyle w:val="Compact"/>
              <w:jc w:val="left"/>
            </w:pPr>
            <w:r>
              <w:t xml:space="preserve">Limited brand awareness vs. global firms (McKinsey, BCG).</w:t>
            </w:r>
          </w:p>
        </w:tc>
      </w:tr>
      <w:tr>
        <w:tc>
          <w:tcPr/>
          <w:p>
            <w:pPr>
              <w:pStyle w:val="Compact"/>
              <w:jc w:val="left"/>
            </w:pPr>
            <w:r>
              <w:t xml:space="preserve">Opportunity</w:t>
            </w:r>
          </w:p>
        </w:tc>
        <w:tc>
          <w:tcPr/>
          <w:p>
            <w:pPr>
              <w:pStyle w:val="Compact"/>
              <w:jc w:val="left"/>
            </w:pPr>
            <w:r>
              <w:t xml:space="preserve">Germany's $15B quantum technology initiative (2023-2030) creating 4,500 physics roles in Frankfurt.</w:t>
            </w:r>
          </w:p>
        </w:tc>
      </w:tr>
      <w:tr>
        <w:tc>
          <w:tcPr/>
          <w:p>
            <w:pPr>
              <w:pStyle w:val="Compact"/>
              <w:jc w:val="left"/>
            </w:pPr>
            <w:r>
              <w:t xml:space="preserve">Threat</w:t>
            </w:r>
          </w:p>
        </w:tc>
        <w:tc>
          <w:tcPr/>
          <w:p>
            <w:pPr>
              <w:pStyle w:val="Compact"/>
              <w:jc w:val="left"/>
            </w:pPr>
            <w:r>
              <w:t xml:space="preserve">Economic downturn reducing corporate R&amp;D budgets (7% projected decline in 2024).</w:t>
            </w:r>
          </w:p>
        </w:tc>
      </w:tr>
    </w:tbl>
    <w:bookmarkEnd w:id="25"/>
    <w:bookmarkStart w:id="26" w:name="kpis-budget-allocation"/>
    <w:p>
      <w:pPr>
        <w:pStyle w:val="Heading2"/>
      </w:pPr>
      <w:r>
        <w:t xml:space="preserve">KPIs &amp; Budget Allocation</w:t>
      </w:r>
    </w:p>
    <w:p>
      <w:pPr>
        <w:pStyle w:val="FirstParagraph"/>
      </w:pPr>
      <w:r>
        <w:t xml:space="preserve">We allocate €185,000 across 12 months with these KPIs:</w:t>
      </w:r>
    </w:p>
    <w:p>
      <w:pPr>
        <w:numPr>
          <w:ilvl w:val="0"/>
          <w:numId w:val="1006"/>
        </w:numPr>
        <w:pStyle w:val="Compact"/>
      </w:pPr>
      <w:r>
        <w:rPr>
          <w:bCs/>
          <w:b/>
        </w:rPr>
        <w:t xml:space="preserve">Lead Generation</w:t>
      </w:r>
      <w:r>
        <w:t xml:space="preserve">: 60 qualified leads/month from Germany Frankfurt (target: 75% conversion to consultations).</w:t>
      </w:r>
    </w:p>
    <w:p>
      <w:pPr>
        <w:numPr>
          <w:ilvl w:val="0"/>
          <w:numId w:val="1006"/>
        </w:numPr>
        <w:pStyle w:val="Compact"/>
      </w:pPr>
      <w:r>
        <w:rPr>
          <w:bCs/>
          <w:b/>
        </w:rPr>
        <w:t xml:space="preserve">Brand Awareness</w:t>
      </w:r>
      <w:r>
        <w:t xml:space="preserve">: 40% increase in branded search volume for "Physics consulting Frankfurt" within 9 months.</w:t>
      </w:r>
    </w:p>
    <w:p>
      <w:pPr>
        <w:numPr>
          <w:ilvl w:val="0"/>
          <w:numId w:val="1006"/>
        </w:numPr>
        <w:pStyle w:val="Compact"/>
      </w:pPr>
      <w:r>
        <w:rPr>
          <w:bCs/>
          <w:b/>
        </w:rPr>
        <w:t xml:space="preserve">Revenue</w:t>
      </w:r>
      <w:r>
        <w:t xml:space="preserve">: €320,000 in Year 1 (65% from enterprise clients, 25% from research grants).</w:t>
      </w:r>
    </w:p>
    <w:p>
      <w:pPr>
        <w:pStyle w:val="FirstParagraph"/>
      </w:pPr>
      <w:r>
        <w:t xml:space="preserve">Budget Breakdown:</w:t>
      </w:r>
    </w:p>
    <w:p>
      <w:pPr>
        <w:numPr>
          <w:ilvl w:val="0"/>
          <w:numId w:val="1007"/>
        </w:numPr>
        <w:pStyle w:val="Compact"/>
      </w:pPr>
      <w:r>
        <w:t xml:space="preserve">Content &amp; SEO: €48,000</w:t>
      </w:r>
    </w:p>
    <w:p>
      <w:pPr>
        <w:numPr>
          <w:ilvl w:val="0"/>
          <w:numId w:val="1007"/>
        </w:numPr>
        <w:pStyle w:val="Compact"/>
      </w:pPr>
      <w:r>
        <w:t xml:space="preserve">Event Sponsorships (Frankfurt Tech Summit): €35,000</w:t>
      </w:r>
    </w:p>
    <w:p>
      <w:pPr>
        <w:numPr>
          <w:ilvl w:val="0"/>
          <w:numId w:val="1007"/>
        </w:numPr>
        <w:pStyle w:val="Compact"/>
      </w:pPr>
      <w:r>
        <w:t xml:space="preserve">LinkedIn Ads &amp; Targeted Outreach: €62,500</w:t>
      </w:r>
    </w:p>
    <w:p>
      <w:pPr>
        <w:numPr>
          <w:ilvl w:val="0"/>
          <w:numId w:val="1007"/>
        </w:numPr>
        <w:pStyle w:val="Compact"/>
      </w:pPr>
      <w:r>
        <w:t xml:space="preserve">Campus Partnerships: €22,500</w:t>
      </w:r>
    </w:p>
    <w:p>
      <w:pPr>
        <w:numPr>
          <w:ilvl w:val="0"/>
          <w:numId w:val="1007"/>
        </w:numPr>
        <w:pStyle w:val="Compact"/>
      </w:pPr>
      <w:r>
        <w:t xml:space="preserve">Contingency: €17,000</w:t>
      </w:r>
    </w:p>
    <w:bookmarkEnd w:id="26"/>
    <w:bookmarkStart w:id="27" w:name="implementation-timeline"/>
    <w:p>
      <w:pPr>
        <w:pStyle w:val="Heading2"/>
      </w:pPr>
      <w:r>
        <w:t xml:space="preserve">Implementation Timeline</w:t>
      </w:r>
    </w:p>
    <w:p>
      <w:pPr>
        <w:pStyle w:val="FirstParagraph"/>
      </w:pPr>
      <w:r>
        <w:rPr>
          <w:bCs/>
          <w:b/>
        </w:rPr>
        <w:t xml:space="preserve">Q1 2024:</w:t>
      </w:r>
      <w:r>
        <w:t xml:space="preserve"> </w:t>
      </w:r>
      <w:r>
        <w:t xml:space="preserve">Finalize Frankfurt office lease (close to Eisschacht building), launch localized website, secure Goethe University partnership.</w:t>
      </w:r>
    </w:p>
    <w:p>
      <w:pPr>
        <w:pStyle w:val="BodyText"/>
      </w:pPr>
      <w:r>
        <w:rPr>
          <w:bCs/>
          <w:b/>
        </w:rPr>
        <w:t xml:space="preserve">Q2 2024:</w:t>
      </w:r>
      <w:r>
        <w:t xml:space="preserve"> </w:t>
      </w:r>
      <w:r>
        <w:t xml:space="preserve">Publish first whitepaper; sponsor Frankfurt Tech Summit booth; initiate LinkedIn lead generation.</w:t>
      </w:r>
    </w:p>
    <w:p>
      <w:pPr>
        <w:pStyle w:val="BodyText"/>
      </w:pPr>
      <w:r>
        <w:rPr>
          <w:bCs/>
          <w:b/>
        </w:rPr>
        <w:t xml:space="preserve">Q3 2024:</w:t>
      </w:r>
      <w:r>
        <w:t xml:space="preserve"> </w:t>
      </w:r>
      <w:r>
        <w:t xml:space="preserve">Execute pilot project with DAX company for quantum-safe encryption, document results for case study.</w:t>
      </w:r>
    </w:p>
    <w:p>
      <w:pPr>
        <w:pStyle w:val="BodyText"/>
      </w:pPr>
      <w:r>
        <w:rPr>
          <w:bCs/>
          <w:b/>
        </w:rPr>
        <w:t xml:space="preserve">Q4 2024:</w:t>
      </w:r>
      <w:r>
        <w:t xml:space="preserve"> </w:t>
      </w:r>
      <w:r>
        <w:t xml:space="preserve">Scale based on Q3 results; apply for EU Horizon grant targeting physics in sustainable logistics.</w:t>
      </w:r>
    </w:p>
    <w:bookmarkEnd w:id="27"/>
    <w:bookmarkStart w:id="28" w:name="why-germany-frankfurt-is-non-negotiable"/>
    <w:p>
      <w:pPr>
        <w:pStyle w:val="Heading2"/>
      </w:pPr>
      <w:r>
        <w:t xml:space="preserve">Why Germany Frankfurt is Non-Negotiable</w:t>
      </w:r>
    </w:p>
    <w:p>
      <w:pPr>
        <w:pStyle w:val="FirstParagraph"/>
      </w:pPr>
      <w:r>
        <w:t xml:space="preserve">The strategic choice of Germany Frankfurt isn't arbitrary. This city uniquely combines: (1) Access to 80% of Europe's top financial institutions requiring physics-driven risk modeling, (2) The highest density of quantum tech startups in continental Europe, and (3) Government incentives like the "Frankfurt Quantum Center" funding initiative. Our Marketing Plan deliberately centers on Frankfurt because a Physicist operating outside this ecosystem would miss 90% of our target market's commercial opportunities. Every campaign – from digital ads to whitepapers – explicitly references "Germany Frankfurt" to reinforce our local expertise and avoid generic positioning.</w:t>
      </w:r>
    </w:p>
    <w:bookmarkEnd w:id="28"/>
    <w:bookmarkStart w:id="29" w:name="conclusion"/>
    <w:p>
      <w:pPr>
        <w:pStyle w:val="Heading2"/>
      </w:pPr>
      <w:r>
        <w:t xml:space="preserve">Conclusion</w:t>
      </w:r>
    </w:p>
    <w:p>
      <w:pPr>
        <w:pStyle w:val="FirstParagraph"/>
      </w:pPr>
      <w:r>
        <w:t xml:space="preserve">This Marketing Plan establishes a clear, executable framework for a Physics Consulting firm to dominate niche high-value services in Germany Frankfurt. By embedding the lead Physicist's expertise within the city's economic fabric – through targeted partnerships, location-specific content, and KPIs tied to Frankfurt's business ecosystem – we will capture market share from established firms lacking physics specialization. Within 24 months, our goal is not merely to be "a Physics consultant in Frankfurt," but to become synonymous with cutting-edge physics solutions for Germany's most ambitious enterprises. The future of applied physics innovation isn't just happening in labs; it's being shaped at the intersection of scientific rigor and Frankfurt's global business engine. This Marketing Plan delivers the strategy to lead that transformation.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Physics Consulting Services in Germany Frankfurt</dc:title>
  <dc:creator/>
  <dc:language>en</dc:language>
  <cp:keywords/>
  <dcterms:created xsi:type="dcterms:W3CDTF">2026-07-20T16:40:32Z</dcterms:created>
  <dcterms:modified xsi:type="dcterms:W3CDTF">2026-07-20T16:40:32Z</dcterms:modified>
</cp:coreProperties>
</file>

<file path=docProps/custom.xml><?xml version="1.0" encoding="utf-8"?>
<Properties xmlns="http://schemas.openxmlformats.org/officeDocument/2006/custom-properties" xmlns:vt="http://schemas.openxmlformats.org/officeDocument/2006/docPropsVTypes"/>
</file>