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Services</w:t>
      </w:r>
      <w:r>
        <w:t xml:space="preserve"> </w:t>
      </w:r>
      <w:r>
        <w:t xml:space="preserve">for</w:t>
      </w:r>
      <w:r>
        <w:t xml:space="preserve"> </w:t>
      </w:r>
      <w:r>
        <w:t xml:space="preserve">Malaysia</w:t>
      </w:r>
      <w:r>
        <w:t xml:space="preserve"> </w:t>
      </w:r>
      <w:r>
        <w:t xml:space="preserve">Kuala</w:t>
      </w:r>
      <w:r>
        <w:t xml:space="preserve"> </w:t>
      </w:r>
      <w:r>
        <w:t xml:space="preserve">Lumpur</w:t>
      </w:r>
    </w:p>
    <w:bookmarkStart w:id="30" w:name="X0b2784f58c11d4ca6eae0bcac402378a92457df"/>
    <w:p>
      <w:pPr>
        <w:pStyle w:val="Heading1"/>
      </w:pPr>
      <w:r>
        <w:t xml:space="preserve">Marketing Plan: Positioning a Physics Expertise Service in Malaysia Kuala Lumpur</w:t>
      </w:r>
    </w:p>
    <w:bookmarkStart w:id="20" w:name="executive-summary"/>
    <w:p>
      <w:pPr>
        <w:pStyle w:val="Heading2"/>
      </w:pPr>
      <w:r>
        <w:t xml:space="preserve">Executive Summary</w:t>
      </w:r>
    </w:p>
    <w:p>
      <w:pPr>
        <w:pStyle w:val="FirstParagraph"/>
      </w:pPr>
      <w:r>
        <w:t xml:space="preserve">This Marketing Plan outlines a strategic approach to establish and scale "Physicist Solutions," a consultancy firm offering physics-based engineering and analytical services, specifically tailored for the dynamic market of Malaysia Kuala Lumpur. Recognizing Kuala Lumpur's rapid technological advancement, industrial growth, and demand for science-driven innovation, this plan positions our physicist expertise as the critical differentiator for businesses seeking precision in energy efficiency, manufacturing optimization, and R&amp;D. The core strategy leverages local economic trends in Malaysia’s capital city to capture market share among key industries while emphasizing the unique value proposition of physics-driven problem-solving.</w:t>
      </w:r>
    </w:p>
    <w:bookmarkEnd w:id="20"/>
    <w:bookmarkStart w:id="21" w:name="X5f9e0f116cc0a86bf826456401cc57dbf898830"/>
    <w:p>
      <w:pPr>
        <w:pStyle w:val="Heading2"/>
      </w:pPr>
      <w:r>
        <w:t xml:space="preserve">Market Analysis: Malaysia Kuala Lumpur Context</w:t>
      </w:r>
    </w:p>
    <w:p>
      <w:pPr>
        <w:pStyle w:val="FirstParagraph"/>
      </w:pPr>
      <w:r>
        <w:t xml:space="preserve">Kuala Lumpur stands as the epicenter of Malaysia's economic and technological evolution. With initiatives like the National Energy Transition Roadmap (NETR) and strong government support for STEM industries through agencies like MIDA (Malaysian Investment Development Authority), there is a surging demand for specialized technical expertise. Manufacturing, renewable energy, construction, and data analytics sectors in KL are increasingly prioritizing physics-based solutions to enhance efficiency and comply with sustainability targets. Competitors often lack deep physics integration; they offer generic engineering services without the theoretical foundation that defines our offering. This gap creates a high-potential opportunity for a dedicated "Physicist" service provider uniquely positioned within Malaysia Kuala Lumpur.</w:t>
      </w:r>
    </w:p>
    <w:bookmarkEnd w:id="21"/>
    <w:bookmarkStart w:id="22" w:name="target-audience-in-kuala-lumpur"/>
    <w:p>
      <w:pPr>
        <w:pStyle w:val="Heading2"/>
      </w:pPr>
      <w:r>
        <w:t xml:space="preserve">Target Audience in Kuala Lumpur</w:t>
      </w:r>
    </w:p>
    <w:p>
      <w:pPr>
        <w:pStyle w:val="FirstParagraph"/>
      </w:pPr>
      <w:r>
        <w:t xml:space="preserve">Our primary audience is Malaysian businesses operating in KL's industrial corridors (e.g., Cyberjaya, Bukit Jalil, Petaling Jaya) seeking measurable outcomes:</w:t>
      </w:r>
    </w:p>
    <w:p>
      <w:pPr>
        <w:numPr>
          <w:ilvl w:val="0"/>
          <w:numId w:val="1001"/>
        </w:numPr>
        <w:pStyle w:val="Compact"/>
      </w:pPr>
      <w:r>
        <w:rPr>
          <w:bCs/>
          <w:b/>
        </w:rPr>
        <w:t xml:space="preserve">Manufacturing Firms:</w:t>
      </w:r>
      <w:r>
        <w:t xml:space="preserve"> </w:t>
      </w:r>
      <w:r>
        <w:t xml:space="preserve">Especially automotive and electronics manufacturers requiring predictive maintenance and process optimization using fluid dynamics or material science principles.</w:t>
      </w:r>
    </w:p>
    <w:p>
      <w:pPr>
        <w:numPr>
          <w:ilvl w:val="0"/>
          <w:numId w:val="1001"/>
        </w:numPr>
        <w:pStyle w:val="Compact"/>
      </w:pPr>
      <w:r>
        <w:rPr>
          <w:bCs/>
          <w:b/>
        </w:rPr>
        <w:t xml:space="preserve">Renewable Energy Developers:</w:t>
      </w:r>
      <w:r>
        <w:t xml:space="preserve"> </w:t>
      </w:r>
      <w:r>
        <w:t xml:space="preserve">Solar farm operators in KL needing precise photovoltaic efficiency modeling and thermal management solutions for Malaysia's tropical climate.</w:t>
      </w:r>
    </w:p>
    <w:p>
      <w:pPr>
        <w:numPr>
          <w:ilvl w:val="0"/>
          <w:numId w:val="1001"/>
        </w:numPr>
        <w:pStyle w:val="Compact"/>
      </w:pPr>
      <w:r>
        <w:rPr>
          <w:bCs/>
          <w:b/>
        </w:rPr>
        <w:t xml:space="preserve">Construction &amp; Infrastructure Firms:</w:t>
      </w:r>
      <w:r>
        <w:t xml:space="preserve"> </w:t>
      </w:r>
      <w:r>
        <w:t xml:space="preserve">Companies requiring structural integrity assessments using computational physics, critical for KL's high-rise development boom.</w:t>
      </w:r>
    </w:p>
    <w:p>
      <w:pPr>
        <w:pStyle w:val="FirstParagraph"/>
      </w:pPr>
      <w:r>
        <w:t xml:space="preserve">We also target universities (e.g., Universiti Malaya, UTM) and government R&amp;D bodies in Malaysia Kuala Lumpur for collaborative projects demanding advanced physics research capabilities.</w:t>
      </w:r>
    </w:p>
    <w:bookmarkEnd w:id="22"/>
    <w:bookmarkStart w:id="23" w:name="unique-value-proposition"/>
    <w:p>
      <w:pPr>
        <w:pStyle w:val="Heading2"/>
      </w:pPr>
      <w:r>
        <w:t xml:space="preserve">Unique Value Proposition</w:t>
      </w:r>
    </w:p>
    <w:p>
      <w:pPr>
        <w:pStyle w:val="FirstParagraph"/>
      </w:pPr>
      <w:r>
        <w:t xml:space="preserve">"Physicist Solutions" delivers more than standard consultancy; we provide solutions rooted in fundamental physics principles. Unlike competitors offering software or generic engineering, our services are built on rigorous scientific analysis—ensuring accuracy, scalability, and long-term innovation. For instance:</w:t>
      </w:r>
    </w:p>
    <w:p>
      <w:pPr>
        <w:numPr>
          <w:ilvl w:val="0"/>
          <w:numId w:val="1002"/>
        </w:numPr>
        <w:pStyle w:val="Compact"/>
      </w:pPr>
      <w:r>
        <w:t xml:space="preserve">Optimizing solar panel array layouts in KL's humid environment using atmospheric physics models.</w:t>
      </w:r>
    </w:p>
    <w:p>
      <w:pPr>
        <w:numPr>
          <w:ilvl w:val="0"/>
          <w:numId w:val="1002"/>
        </w:numPr>
        <w:pStyle w:val="Compact"/>
      </w:pPr>
      <w:r>
        <w:t xml:space="preserve">Reducing energy waste in KL-based factories through thermodynamic process mapping.</w:t>
      </w:r>
    </w:p>
    <w:p>
      <w:pPr>
        <w:numPr>
          <w:ilvl w:val="0"/>
          <w:numId w:val="1002"/>
        </w:numPr>
        <w:pStyle w:val="Compact"/>
      </w:pPr>
      <w:r>
        <w:t xml:space="preserve">Validating structural safety for high-rises using computational fluid dynamics (CFD) simulations specific to Malaysian typhoon patterns.</w:t>
      </w:r>
    </w:p>
    <w:bookmarkEnd w:id="23"/>
    <w:bookmarkStart w:id="24" w:name="marketing-strategy-tactics"/>
    <w:p>
      <w:pPr>
        <w:pStyle w:val="Heading2"/>
      </w:pPr>
      <w:r>
        <w:t xml:space="preserve">Marketing Strategy &amp; Tactics</w:t>
      </w:r>
    </w:p>
    <w:p>
      <w:pPr>
        <w:pStyle w:val="FirstParagraph"/>
      </w:pPr>
      <w:r>
        <w:t xml:space="preserve">We adopt a hyper-localized, digital-first approach tailored for Malaysia Kuala Lumpur:</w:t>
      </w:r>
    </w:p>
    <w:p>
      <w:pPr>
        <w:numPr>
          <w:ilvl w:val="0"/>
          <w:numId w:val="1003"/>
        </w:numPr>
        <w:pStyle w:val="Compact"/>
      </w:pPr>
      <w:r>
        <w:rPr>
          <w:bCs/>
          <w:b/>
        </w:rPr>
        <w:t xml:space="preserve">Content Marketing with Local Relevance:</w:t>
      </w:r>
      <w:r>
        <w:t xml:space="preserve"> </w:t>
      </w:r>
      <w:r>
        <w:t xml:space="preserve">Publish case studies showcasing KL-based success stories (e.g., "How Physics Optimized Cooling Systems for a KL Tech Park"). Host webinars in Bahasa Malaysia and English addressing local challenges like monsoon-season energy loss.</w:t>
      </w:r>
    </w:p>
    <w:p>
      <w:pPr>
        <w:numPr>
          <w:ilvl w:val="0"/>
          <w:numId w:val="1003"/>
        </w:numPr>
        <w:pStyle w:val="Compact"/>
      </w:pPr>
      <w:r>
        <w:rPr>
          <w:bCs/>
          <w:b/>
        </w:rPr>
        <w:t xml:space="preserve">Strategic Partnerships:</w:t>
      </w:r>
      <w:r>
        <w:t xml:space="preserve"> </w:t>
      </w:r>
      <w:r>
        <w:t xml:space="preserve">Forge alliances with key entities in Malaysia Kuala Lumpur: MIDA, industry associations (MIMOS, IEEE Malaysia), and tech hubs (8Startups, KL Hub). This builds credibility and provides direct access to target clients.</w:t>
      </w:r>
    </w:p>
    <w:p>
      <w:pPr>
        <w:numPr>
          <w:ilvl w:val="0"/>
          <w:numId w:val="1003"/>
        </w:numPr>
        <w:pStyle w:val="Compact"/>
      </w:pPr>
      <w:r>
        <w:rPr>
          <w:bCs/>
          <w:b/>
        </w:rPr>
        <w:t xml:space="preserve">Digital Targeting:</w:t>
      </w:r>
      <w:r>
        <w:t xml:space="preserve"> </w:t>
      </w:r>
      <w:r>
        <w:t xml:space="preserve">Run LinkedIn campaigns focusing on manufacturing/energy leaders in KL. Utilize Facebook/Instagram ads targeting professionals in industrial zones with content like "Physics-Driven Cost Reduction for Your KL Factory."</w:t>
      </w:r>
    </w:p>
    <w:p>
      <w:pPr>
        <w:numPr>
          <w:ilvl w:val="0"/>
          <w:numId w:val="1003"/>
        </w:numPr>
        <w:pStyle w:val="Compact"/>
      </w:pPr>
      <w:r>
        <w:rPr>
          <w:bCs/>
          <w:b/>
        </w:rPr>
        <w:t xml:space="preserve">Community Engagement:</w:t>
      </w:r>
      <w:r>
        <w:t xml:space="preserve"> </w:t>
      </w:r>
      <w:r>
        <w:t xml:space="preserve">Sponsor STEM events at universities in Kuala Lumpur, such as the Universiti Kebangsaan Malaysia (UKM) Engineering Festival, to showcase our physicist expertise and recruit talent.</w:t>
      </w:r>
    </w:p>
    <w:bookmarkEnd w:id="24"/>
    <w:bookmarkStart w:id="25" w:name="tactical-implementation-timeline"/>
    <w:p>
      <w:pPr>
        <w:pStyle w:val="Heading2"/>
      </w:pPr>
      <w:r>
        <w:t xml:space="preserve">Tactical Implementation Timeline</w:t>
      </w:r>
    </w:p>
    <w:p>
      <w:pPr>
        <w:pStyle w:val="FirstParagraph"/>
      </w:pPr>
      <w:r>
        <w:rPr>
          <w:bCs/>
          <w:b/>
        </w:rPr>
        <w:t xml:space="preserve">Months 1–3:</w:t>
      </w:r>
      <w:r>
        <w:t xml:space="preserve"> </w:t>
      </w:r>
      <w:r>
        <w:t xml:space="preserve">Establish KL presence via local office partnerships (e.g., co-working space at Tropicana Business Centre), launch localized website with "Physicist Solutions for Malaysia" landing page, and initiate LinkedIn outreach to 50 target firms in KL.</w:t>
      </w:r>
    </w:p>
    <w:p>
      <w:pPr>
        <w:pStyle w:val="BodyText"/>
      </w:pPr>
      <w:r>
        <w:rPr>
          <w:bCs/>
          <w:b/>
        </w:rPr>
        <w:t xml:space="preserve">Months 4–6:</w:t>
      </w:r>
      <w:r>
        <w:t xml:space="preserve"> </w:t>
      </w:r>
      <w:r>
        <w:t xml:space="preserve">Execute first three case studies with KL clients (e.g., solar firm in Klang Valley), publish bilingual (English/BM) whitepapers on physics applications for Malaysia's climate, and secure one partnership with MIDA.</w:t>
      </w:r>
    </w:p>
    <w:p>
      <w:pPr>
        <w:pStyle w:val="BodyText"/>
      </w:pPr>
      <w:r>
        <w:rPr>
          <w:bCs/>
          <w:b/>
        </w:rPr>
        <w:t xml:space="preserve">Months 7–12:</w:t>
      </w:r>
      <w:r>
        <w:t xml:space="preserve"> </w:t>
      </w:r>
      <w:r>
        <w:t xml:space="preserve">Scale through client referrals; expand services to include government RFPs for KL infrastructure projects; host the first "Physics Innovation Summit" in Kuala Lumpur.</w:t>
      </w:r>
    </w:p>
    <w:bookmarkEnd w:id="25"/>
    <w:bookmarkStart w:id="26" w:name="budget-allocation-kl-focus"/>
    <w:p>
      <w:pPr>
        <w:pStyle w:val="Heading2"/>
      </w:pPr>
      <w:r>
        <w:t xml:space="preserve">Budget Allocation (KL Focus)</w:t>
      </w:r>
    </w:p>
    <w:p>
      <w:pPr>
        <w:pStyle w:val="FirstParagraph"/>
      </w:pPr>
      <w:r>
        <w:t xml:space="preserve">Approximately 70% of the budget is allocated to KL-specific activities:</w:t>
      </w:r>
    </w:p>
    <w:p>
      <w:pPr>
        <w:numPr>
          <w:ilvl w:val="0"/>
          <w:numId w:val="1004"/>
        </w:numPr>
        <w:pStyle w:val="Compact"/>
      </w:pPr>
      <w:r>
        <w:t xml:space="preserve">40%: Digital marketing &amp; content creation for local audience (social ads, SEO for "physicist services Kuala Lumpur").</w:t>
      </w:r>
    </w:p>
    <w:p>
      <w:pPr>
        <w:numPr>
          <w:ilvl w:val="0"/>
          <w:numId w:val="1004"/>
        </w:numPr>
        <w:pStyle w:val="Compact"/>
      </w:pPr>
      <w:r>
        <w:t xml:space="preserve">25%: Partnership development &amp; event sponsorships in Malaysia capital city.</w:t>
      </w:r>
    </w:p>
    <w:p>
      <w:pPr>
        <w:numPr>
          <w:ilvl w:val="0"/>
          <w:numId w:val="1004"/>
        </w:numPr>
        <w:pStyle w:val="Compact"/>
      </w:pPr>
      <w:r>
        <w:t xml:space="preserve">20%: Localized materials (BM translations, KL-specific case studies).</w:t>
      </w:r>
    </w:p>
    <w:p>
      <w:pPr>
        <w:numPr>
          <w:ilvl w:val="0"/>
          <w:numId w:val="1004"/>
        </w:numPr>
        <w:pStyle w:val="Compact"/>
      </w:pPr>
      <w:r>
        <w:t xml:space="preserve">15%: Team travel within Kuala Lumpur for client meetings and networking.</w:t>
      </w:r>
    </w:p>
    <w:bookmarkEnd w:id="26"/>
    <w:bookmarkStart w:id="27" w:name="Xd537ba89469837bb1fe2ecb1031c0d7e4113013"/>
    <w:p>
      <w:pPr>
        <w:pStyle w:val="Heading2"/>
      </w:pPr>
      <w:r>
        <w:t xml:space="preserve">KPIs for Success in Malaysia Kuala Lumpur</w:t>
      </w:r>
    </w:p>
    <w:p>
      <w:pPr>
        <w:pStyle w:val="FirstParagraph"/>
      </w:pPr>
      <w:r>
        <w:t xml:space="preserve">We measure success through metrics directly tied to the KL market:</w:t>
      </w:r>
    </w:p>
    <w:p>
      <w:pPr>
        <w:numPr>
          <w:ilvl w:val="0"/>
          <w:numId w:val="1005"/>
        </w:numPr>
        <w:pStyle w:val="Compact"/>
      </w:pPr>
      <w:r>
        <w:rPr>
          <w:bCs/>
          <w:b/>
        </w:rPr>
        <w:t xml:space="preserve">Client Acquisition:</w:t>
      </w:r>
      <w:r>
        <w:t xml:space="preserve"> </w:t>
      </w:r>
      <w:r>
        <w:t xml:space="preserve">15 new paying clients from Kuala Lumpur within Year 1.</w:t>
      </w:r>
    </w:p>
    <w:p>
      <w:pPr>
        <w:numPr>
          <w:ilvl w:val="0"/>
          <w:numId w:val="1005"/>
        </w:numPr>
        <w:pStyle w:val="Compact"/>
      </w:pPr>
      <w:r>
        <w:rPr>
          <w:bCs/>
          <w:b/>
        </w:rPr>
        <w:t xml:space="preserve">Mindshare:</w:t>
      </w:r>
      <w:r>
        <w:t xml:space="preserve"> </w:t>
      </w:r>
      <w:r>
        <w:t xml:space="preserve">30% increase in "Physicist Solutions" brand recall among KL manufacturing leaders (per quarterly survey).</w:t>
      </w:r>
    </w:p>
    <w:p>
      <w:pPr>
        <w:numPr>
          <w:ilvl w:val="0"/>
          <w:numId w:val="1005"/>
        </w:numPr>
        <w:pStyle w:val="Compact"/>
      </w:pPr>
      <w:r>
        <w:rPr>
          <w:bCs/>
          <w:b/>
        </w:rPr>
        <w:t xml:space="preserve">National Recognition:</w:t>
      </w:r>
      <w:r>
        <w:t xml:space="preserve"> </w:t>
      </w:r>
      <w:r>
        <w:t xml:space="preserve">Secure one government contract for Malaysia's energy transition program by Month 12.</w:t>
      </w:r>
    </w:p>
    <w:p>
      <w:pPr>
        <w:numPr>
          <w:ilvl w:val="0"/>
          <w:numId w:val="1005"/>
        </w:numPr>
        <w:pStyle w:val="Compact"/>
      </w:pPr>
      <w:r>
        <w:rPr>
          <w:bCs/>
          <w:b/>
        </w:rPr>
        <w:t xml:space="preserve">Referral Rate:</w:t>
      </w:r>
      <w:r>
        <w:t xml:space="preserve"> </w:t>
      </w:r>
      <w:r>
        <w:t xml:space="preserve">40% of clients referring other KL businesses to our physicist services.</w:t>
      </w:r>
    </w:p>
    <w:bookmarkEnd w:id="27"/>
    <w:bookmarkStart w:id="28" w:name="X593ab827f252f1b026d4127a16699f19a0b23a5"/>
    <w:p>
      <w:pPr>
        <w:pStyle w:val="Heading2"/>
      </w:pPr>
      <w:r>
        <w:t xml:space="preserve">Why This Marketing Plan Works for Malaysia Kuala Lumpur</w:t>
      </w:r>
    </w:p>
    <w:p>
      <w:pPr>
        <w:pStyle w:val="FirstParagraph"/>
      </w:pPr>
      <w:r>
        <w:t xml:space="preserve">This plan centers on the reality that "Physicist" is not just a job title—it’s an asset in Malaysia's knowledge economy. Kuala Lumpur’s businesses don’t need more generic advice; they need solutions grounded in physics to navigate regional challenges like monsoons, energy demands, and sustainable growth. By embedding "Malaysia Kuala Lumpur" into every tactic—from the location-specific case studies to the KL-focused partnerships—we position our physicist expertise as inherently local and indispensable. This isn’t a global strategy repackaged; it’s a Marketing Plan designed for Kuala Lumpur’s unique industrial ecosystem, where physics-driven innovation is now a competitive necessity.</w:t>
      </w:r>
    </w:p>
    <w:bookmarkEnd w:id="28"/>
    <w:bookmarkStart w:id="29" w:name="conclusion"/>
    <w:p>
      <w:pPr>
        <w:pStyle w:val="Heading2"/>
      </w:pPr>
      <w:r>
        <w:t xml:space="preserve">Conclusion</w:t>
      </w:r>
    </w:p>
    <w:p>
      <w:pPr>
        <w:pStyle w:val="FirstParagraph"/>
      </w:pPr>
      <w:r>
        <w:t xml:space="preserve">The "Physicist Solutions" Marketing Plan strategically leverages the growing demand for specialized physics expertise within Malaysia Kuala Lumpur. By focusing on KL's economic pillars—manufacturing, renewables, and infrastructure—and communicating the distinct value of physics-based analysis, we will establish a dominant position in a market underserved by traditional engineering firms. This plan ensures that every initiative—from digital campaigns to client partnerships—reinforces that our physicist-led approach is not just relevant but essential for success in Malaysia’s capital city. The result will be sustainable growth, deep market penetration, and recognition as the definitive "Physicist" service provider for Kuala Lumpur businesses.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Services for Malaysia Kuala Lumpur</dc:title>
  <dc:creator/>
  <dc:language>en</dc:language>
  <cp:keywords/>
  <dcterms:created xsi:type="dcterms:W3CDTF">2025-12-13T11:57:30Z</dcterms:created>
  <dcterms:modified xsi:type="dcterms:W3CDTF">2025-12-13T11:57:30Z</dcterms:modified>
</cp:coreProperties>
</file>

<file path=docProps/custom.xml><?xml version="1.0" encoding="utf-8"?>
<Properties xmlns="http://schemas.openxmlformats.org/officeDocument/2006/custom-properties" xmlns:vt="http://schemas.openxmlformats.org/officeDocument/2006/docPropsVTypes"/>
</file>