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170f6df9f7354b97de9b5899a1ab10e3194a432"/>
    <w:p>
      <w:pPr>
        <w:pStyle w:val="Heading1"/>
      </w:pPr>
      <w:r>
        <w:t xml:space="preserve">Comprehensive Marketing Plan: Advanced Physics Consulting Services for Russia Moscow Market</w:t>
      </w:r>
    </w:p>
    <w:bookmarkStart w:id="20" w:name="executive-summary"/>
    <w:p>
      <w:pPr>
        <w:pStyle w:val="Heading2"/>
      </w:pPr>
      <w:r>
        <w:t xml:space="preserve">Executive Summary</w:t>
      </w:r>
    </w:p>
    <w:p>
      <w:pPr>
        <w:pStyle w:val="FirstParagraph"/>
      </w:pPr>
      <w:r>
        <w:t xml:space="preserve">This Marketing Plan outlines a strategic approach to establish and scale our premium physics consulting services across Moscow, Russia. Targeting high-value industries requiring cutting-edge physics expertise, this plan positions our firm as the premier partner for complex scientific challenges in the Russia Moscow ecosystem. With over 120,000 physicists employed nationwide and Moscow housing 35% of Russia's scientific institutions, we leverage this talent density to deliver transformative solutions. Our unique value proposition combines deep theoretical physics mastery with practical industrial applications tailored to Russian market dynamics.</w:t>
      </w:r>
    </w:p>
    <w:bookmarkEnd w:id="20"/>
    <w:bookmarkStart w:id="21" w:name="market-analysis-russia-moscow-context"/>
    <w:p>
      <w:pPr>
        <w:pStyle w:val="Heading2"/>
      </w:pPr>
      <w:r>
        <w:t xml:space="preserve">Market Analysis: Russia Moscow Context</w:t>
      </w:r>
    </w:p>
    <w:p>
      <w:pPr>
        <w:pStyle w:val="FirstParagraph"/>
      </w:pPr>
      <w:r>
        <w:t xml:space="preserve">The Russia Moscow physics services market represents a $180M+ opportunity driven by government initiatives like the National Technology Initiative (NTI) and defense sector modernization programs. Key trends include:</w:t>
      </w:r>
    </w:p>
    <w:p>
      <w:pPr>
        <w:numPr>
          <w:ilvl w:val="0"/>
          <w:numId w:val="1001"/>
        </w:numPr>
        <w:pStyle w:val="Compact"/>
      </w:pPr>
      <w:r>
        <w:t xml:space="preserve">Government spending on quantum technology R&amp;D increased by 22% YoY (2023)</w:t>
      </w:r>
    </w:p>
    <w:p>
      <w:pPr>
        <w:numPr>
          <w:ilvl w:val="0"/>
          <w:numId w:val="1001"/>
        </w:numPr>
        <w:pStyle w:val="Compact"/>
      </w:pPr>
      <w:r>
        <w:t xml:space="preserve">Oil/gas industry demanding physics-based reservoir modeling solutions</w:t>
      </w:r>
    </w:p>
    <w:p>
      <w:pPr>
        <w:numPr>
          <w:ilvl w:val="0"/>
          <w:numId w:val="1001"/>
        </w:numPr>
        <w:pStyle w:val="Compact"/>
      </w:pPr>
      <w:r>
        <w:t xml:space="preserve">Moscow's 47 science parks housing 60,000+ researchers creating ideal client ecosystems</w:t>
      </w:r>
    </w:p>
    <w:p>
      <w:pPr>
        <w:pStyle w:val="FirstParagraph"/>
      </w:pPr>
      <w:r>
        <w:t xml:space="preserve">Moscow's unique market characteristics require localized strategies: cultural emphasis on institutional relationships, bilingual technical communication needs (Russian/English), and alignment with Rosatom/Russian Academy of Sciences priorities. Competitor analysis reveals gaps in specialized quantum physics consulting – only 3 firms currently serve this niche segment across Russia.</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Defense &amp; Aerospace:</w:t>
      </w:r>
      <w:r>
        <w:t xml:space="preserve"> </w:t>
      </w:r>
      <w:r>
        <w:t xml:space="preserve">Rosoboronexport, NPO Energomash (requiring propulsion physics expertise)</w:t>
      </w:r>
    </w:p>
    <w:p>
      <w:pPr>
        <w:numPr>
          <w:ilvl w:val="0"/>
          <w:numId w:val="1002"/>
        </w:numPr>
        <w:pStyle w:val="Compact"/>
      </w:pPr>
      <w:r>
        <w:rPr>
          <w:bCs/>
          <w:b/>
        </w:rPr>
        <w:t xml:space="preserve">Energy Sector:</w:t>
      </w:r>
      <w:r>
        <w:t xml:space="preserve"> </w:t>
      </w:r>
      <w:r>
        <w:t xml:space="preserve">Gazpromneft, Lukoil (needing advanced seismic modeling)</w:t>
      </w:r>
    </w:p>
    <w:p>
      <w:pPr>
        <w:numPr>
          <w:ilvl w:val="0"/>
          <w:numId w:val="1002"/>
        </w:numPr>
        <w:pStyle w:val="Compact"/>
      </w:pPr>
      <w:r>
        <w:rPr>
          <w:bCs/>
          <w:b/>
        </w:rPr>
        <w:t xml:space="preserve">Quantum Tech Startups:</w:t>
      </w:r>
      <w:r>
        <w:t xml:space="preserve"> </w:t>
      </w:r>
      <w:r>
        <w:t xml:space="preserve">Moscow-based ventures in quantum computing seeking physicist talent</w:t>
      </w:r>
    </w:p>
    <w:p>
      <w:pPr>
        <w:pStyle w:val="FirstParagraph"/>
      </w:pPr>
      <w:r>
        <w:t xml:space="preserve">Secondary audience includes research institutes like Skoltech and MIPT where we position as preferred physics talent partners. We specifically target decision-makers with PhDs in physics or equivalent technical authority – 68% of our ideal clients hold advanced degrees.</w:t>
      </w:r>
    </w:p>
    <w:bookmarkEnd w:id="22"/>
    <w:bookmarkStart w:id="23" w:name="marketing-objectives-12-month-timeline"/>
    <w:p>
      <w:pPr>
        <w:pStyle w:val="Heading2"/>
      </w:pPr>
      <w:r>
        <w:t xml:space="preserve">Marketing Objectives (12-Month Timeline)</w:t>
      </w:r>
    </w:p>
    <w:p>
      <w:pPr>
        <w:pStyle w:val="FirstParagraph"/>
      </w:pPr>
      <w:r>
        <w:t xml:space="preserve">1. Achieve 35% market penetration among Moscow-based defense contractors within 18 months</w:t>
      </w:r>
      <w:r>
        <w:br/>
      </w:r>
      <w:r>
        <w:t xml:space="preserve">2. Secure contracts with 5+ major energy companies by Q4 2024</w:t>
      </w:r>
      <w:r>
        <w:br/>
      </w:r>
      <w:r>
        <w:t xml:space="preserve">3. Establish brand recognition as "Russia's leading physics consultancy" through 70%+ awareness in target sectors</w:t>
      </w:r>
      <w:r>
        <w:br/>
      </w:r>
      <w:r>
        <w:t xml:space="preserve">4. Generate $1.8M in new service revenue from Russia Moscow operations</w:t>
      </w:r>
    </w:p>
    <w:bookmarkEnd w:id="23"/>
    <w:bookmarkStart w:id="27" w:name="X374d7ed7cc2570a5fe4080f56785e1801f4ea7a"/>
    <w:p>
      <w:pPr>
        <w:pStyle w:val="Heading2"/>
      </w:pPr>
      <w:r>
        <w:t xml:space="preserve">Core Marketing Strategies for Russia Moscow</w:t>
      </w:r>
    </w:p>
    <w:bookmarkStart w:id="24" w:name="localized-physics-value-proposition"/>
    <w:p>
      <w:pPr>
        <w:pStyle w:val="Heading3"/>
      </w:pPr>
      <w:r>
        <w:t xml:space="preserve">Localized Physics Value Proposition</w:t>
      </w:r>
    </w:p>
    <w:p>
      <w:pPr>
        <w:pStyle w:val="FirstParagraph"/>
      </w:pPr>
      <w:r>
        <w:t xml:space="preserve">We reframe "Physicist" as a strategic asset, not just a consultant. Our marketing emphasizes:</w:t>
      </w:r>
    </w:p>
    <w:p>
      <w:pPr>
        <w:numPr>
          <w:ilvl w:val="0"/>
          <w:numId w:val="1003"/>
        </w:numPr>
        <w:pStyle w:val="Compact"/>
      </w:pPr>
      <w:r>
        <w:t xml:space="preserve">"Physics-Driven Solutions: Where Quantum Mechanics Meets Russian Industrial Reality"</w:t>
      </w:r>
    </w:p>
    <w:p>
      <w:pPr>
        <w:numPr>
          <w:ilvl w:val="0"/>
          <w:numId w:val="1003"/>
        </w:numPr>
        <w:pStyle w:val="Compact"/>
      </w:pPr>
      <w:r>
        <w:t xml:space="preserve">"Moscow's Only Physics Firm Certified by Rosatom for Nuclear Applications"</w:t>
      </w:r>
    </w:p>
    <w:p>
      <w:pPr>
        <w:numPr>
          <w:ilvl w:val="0"/>
          <w:numId w:val="1003"/>
        </w:numPr>
        <w:pStyle w:val="Compact"/>
      </w:pPr>
      <w:r>
        <w:t xml:space="preserve">"From Moscow Laboratory to Global Market: Physics Consulting That Understands Russian Technical Standards (GOST)"</w:t>
      </w:r>
    </w:p>
    <w:p>
      <w:pPr>
        <w:pStyle w:val="FirstParagraph"/>
      </w:pPr>
      <w:r>
        <w:t xml:space="preserve">All materials are bilingual (Russian/English) with content localized for Russian regulatory frameworks and industry vernacular.</w:t>
      </w:r>
    </w:p>
    <w:bookmarkEnd w:id="24"/>
    <w:bookmarkStart w:id="25" w:name="strategic-partnerships-in-russia-moscow"/>
    <w:p>
      <w:pPr>
        <w:pStyle w:val="Heading3"/>
      </w:pPr>
      <w:r>
        <w:t xml:space="preserve">Strategic Partnerships in Russia Moscow</w:t>
      </w:r>
    </w:p>
    <w:p>
      <w:pPr>
        <w:pStyle w:val="FirstParagraph"/>
      </w:pPr>
      <w:r>
        <w:t xml:space="preserve">Our Marketing Plan prioritizes institutional alliances:</w:t>
      </w:r>
    </w:p>
    <w:p>
      <w:pPr>
        <w:numPr>
          <w:ilvl w:val="0"/>
          <w:numId w:val="1004"/>
        </w:numPr>
        <w:pStyle w:val="Compact"/>
      </w:pPr>
      <w:r>
        <w:rPr>
          <w:bCs/>
          <w:b/>
        </w:rPr>
        <w:t xml:space="preserve">Academic Synergy:</w:t>
      </w:r>
      <w:r>
        <w:t xml:space="preserve"> </w:t>
      </w:r>
      <w:r>
        <w:t xml:space="preserve">Co-developing quantum physics curricula with MIPT, embedding our brand as the "industry partner" for graduates</w:t>
      </w:r>
    </w:p>
    <w:p>
      <w:pPr>
        <w:numPr>
          <w:ilvl w:val="0"/>
          <w:numId w:val="1004"/>
        </w:numPr>
        <w:pStyle w:val="Compact"/>
      </w:pPr>
      <w:r>
        <w:rPr>
          <w:bCs/>
          <w:b/>
        </w:rPr>
        <w:t xml:space="preserve">Government Alignment:</w:t>
      </w:r>
      <w:r>
        <w:t xml:space="preserve"> </w:t>
      </w:r>
      <w:r>
        <w:t xml:space="preserve">Becoming certified supplier under Federal Law 223 (procurement for state-owned enterprises)</w:t>
      </w:r>
    </w:p>
    <w:p>
      <w:pPr>
        <w:numPr>
          <w:ilvl w:val="0"/>
          <w:numId w:val="1004"/>
        </w:numPr>
        <w:pStyle w:val="Compact"/>
      </w:pPr>
      <w:r>
        <w:rPr>
          <w:bCs/>
          <w:b/>
        </w:rPr>
        <w:t xml:space="preserve">Ecosystem Integration:</w:t>
      </w:r>
      <w:r>
        <w:t xml:space="preserve"> </w:t>
      </w:r>
      <w:r>
        <w:t xml:space="preserve">Partnering with Moscow Science Park to host quarterly "Physics Innovation Forums"</w:t>
      </w:r>
    </w:p>
    <w:bookmarkEnd w:id="25"/>
    <w:bookmarkStart w:id="26" w:name="tactical-execution-russia-moscow-focus"/>
    <w:p>
      <w:pPr>
        <w:pStyle w:val="Heading3"/>
      </w:pPr>
      <w:r>
        <w:t xml:space="preserve">Tactical Execution: Russia Moscow Focus</w:t>
      </w:r>
    </w:p>
    <w:p>
      <w:pPr>
        <w:pStyle w:val="FirstParagraph"/>
      </w:pPr>
      <w:r>
        <w:t xml:space="preserve">1.</w:t>
      </w:r>
      <w:r>
        <w:t xml:space="preserve"> </w:t>
      </w:r>
      <w:r>
        <w:rPr>
          <w:iCs/>
          <w:i/>
        </w:rPr>
        <w:t xml:space="preserve">Moscow-First Digital Campaign:</w:t>
      </w:r>
      <w:r>
        <w:t xml:space="preserve"> </w:t>
      </w:r>
      <w:r>
        <w:t xml:space="preserve">Targeted LinkedIn ads in Russian targeting physics PhDs at leading institutions, with content showcasing case studies from local clients like Sibur and Uralchem.</w:t>
      </w:r>
      <w:r>
        <w:t xml:space="preserve"> </w:t>
      </w:r>
      <w:r>
        <w:t xml:space="preserve">2.</w:t>
      </w:r>
      <w:r>
        <w:t xml:space="preserve"> </w:t>
      </w:r>
      <w:r>
        <w:rPr>
          <w:iCs/>
          <w:i/>
        </w:rPr>
        <w:t xml:space="preserve">Physical Presence Strategy:</w:t>
      </w:r>
      <w:r>
        <w:t xml:space="preserve"> </w:t>
      </w:r>
      <w:r>
        <w:t xml:space="preserve">Opening a Moscow office near Skolkovo Innovation Center by Q1 2024 – featuring a "Physics Lab Experience" booth for client demonstrations.</w:t>
      </w:r>
      <w:r>
        <w:t xml:space="preserve"> </w:t>
      </w:r>
      <w:r>
        <w:t xml:space="preserve">3.</w:t>
      </w:r>
      <w:r>
        <w:t xml:space="preserve"> </w:t>
      </w:r>
      <w:r>
        <w:rPr>
          <w:iCs/>
          <w:i/>
        </w:rPr>
        <w:t xml:space="preserve">Cultural Alignment:</w:t>
      </w:r>
      <w:r>
        <w:t xml:space="preserve"> </w:t>
      </w:r>
      <w:r>
        <w:t xml:space="preserve">All marketing materials incorporate Russian business etiquette norms, using formal titles (Dr. Ivanov) and referencing local success stories like the Kaliningrad Quantum Project.</w:t>
      </w:r>
      <w:r>
        <w:t xml:space="preserve"> </w:t>
      </w:r>
      <w:r>
        <w:t xml:space="preserve">4.</w:t>
      </w:r>
      <w:r>
        <w:t xml:space="preserve"> </w:t>
      </w:r>
      <w:r>
        <w:rPr>
          <w:iCs/>
          <w:i/>
        </w:rPr>
        <w:t xml:space="preserve">Industry-Specific Content:</w:t>
      </w:r>
      <w:r>
        <w:t xml:space="preserve"> </w:t>
      </w:r>
      <w:r>
        <w:t xml:space="preserve">Developing technical whitepapers on physics applications for Russia's oil fields (e.g., "Magnetic Resonance Physics for Siberian Reservoirs") distributed through Russian industry associations.</w:t>
      </w:r>
    </w:p>
    <w:bookmarkEnd w:id="26"/>
    <w:bookmarkEnd w:id="27"/>
    <w:bookmarkStart w:id="28" w:name="budget-allocation-russia-moscow-focus"/>
    <w:p>
      <w:pPr>
        <w:pStyle w:val="Heading2"/>
      </w:pPr>
      <w:r>
        <w:t xml:space="preserve">Budget Allocation: Russia Moscow Focus</w:t>
      </w:r>
    </w:p>
    <w:p>
      <w:pPr>
        <w:pStyle w:val="FirstParagraph"/>
      </w:pPr>
      <w:r>
        <w:t xml:space="preserve">Category</w:t>
      </w:r>
    </w:p>
    <w:p>
      <w:pPr>
        <w:pStyle w:val="BodyText"/>
      </w:pPr>
      <w:r>
        <w:t xml:space="preserve">Allocation (% of Total)</w:t>
      </w:r>
    </w:p>
    <w:p>
      <w:pPr>
        <w:pStyle w:val="BodyText"/>
      </w:pPr>
      <w:r>
        <w:t xml:space="preserve">Rationale for Russia Moscow</w:t>
      </w:r>
    </w:p>
    <w:p>
      <w:pPr>
        <w:pStyle w:val="BodyText"/>
      </w:pPr>
      <w:r>
        <w:t xml:space="preserve">Institutional Partnerships (MIPT, Rosatom)</w:t>
      </w:r>
    </w:p>
    <w:p>
      <w:pPr>
        <w:pStyle w:val="BodyText"/>
      </w:pPr>
      <w:r>
        <w:t xml:space="preserve">35%</w:t>
      </w:r>
    </w:p>
    <w:p>
      <w:pPr>
        <w:pStyle w:val="BodyText"/>
      </w:pPr>
      <w:r>
        <w:t xml:space="preserve">Critical for credibility in Russian scientific ecosystem</w:t>
      </w:r>
    </w:p>
    <w:p>
      <w:pPr>
        <w:pStyle w:val="BodyText"/>
      </w:pPr>
      <w:r>
        <w:t xml:space="preserve">Localized Digital Marketing</w:t>
      </w:r>
    </w:p>
    <w:p>
      <w:pPr>
        <w:pStyle w:val="BodyText"/>
      </w:pPr>
      <w:r>
        <w:t xml:space="preserve">25%</w:t>
      </w:r>
    </w:p>
    <w:p>
      <w:pPr>
        <w:pStyle w:val="BodyText"/>
      </w:pPr>
      <w:r>
        <w:t xml:space="preserve">Leverages Moscow's 67% internet penetration among professionals</w:t>
      </w:r>
    </w:p>
    <w:p>
      <w:pPr>
        <w:pStyle w:val="BodyText"/>
      </w:pPr>
      <w:r>
        <w:t xml:space="preserve">Targeted Events &amp; Presence (Moscow Science Park)</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Rosatom certification, open Moscow office, launch "Physics in Russia" webinar series with MIPT.</w:t>
      </w:r>
      <w:r>
        <w:br/>
      </w:r>
      <w:r>
        <w:rPr>
          <w:bCs/>
          <w:b/>
        </w:rPr>
        <w:t xml:space="preserve">Q3 2024:</w:t>
      </w:r>
      <w:r>
        <w:t xml:space="preserve"> </w:t>
      </w:r>
      <w:r>
        <w:t xml:space="preserve">First major contract with Gazpromneft for seismic modeling (positioning as "Russia's physics solution for oil extraction").</w:t>
      </w:r>
      <w:r>
        <w:br/>
      </w:r>
      <w:r>
        <w:rPr>
          <w:bCs/>
          <w:b/>
        </w:rPr>
        <w:t xml:space="preserve">Q1 2025:</w:t>
      </w:r>
      <w:r>
        <w:t xml:space="preserve"> </w:t>
      </w:r>
      <w:r>
        <w:t xml:space="preserve">Achieve 5+ energy sector contracts, host inaugural Moscow Quantum Physics Summit.</w:t>
      </w:r>
    </w:p>
    <w:bookmarkEnd w:id="29"/>
    <w:bookmarkStart w:id="30" w:name="performance-measurement"/>
    <w:p>
      <w:pPr>
        <w:pStyle w:val="Heading2"/>
      </w:pPr>
      <w:r>
        <w:t xml:space="preserve">Performance Measurement</w:t>
      </w:r>
    </w:p>
    <w:p>
      <w:pPr>
        <w:pStyle w:val="FirstParagraph"/>
      </w:pPr>
      <w:r>
        <w:t xml:space="preserve">We track success through Russia-specific KPIs:</w:t>
      </w:r>
    </w:p>
    <w:p>
      <w:pPr>
        <w:numPr>
          <w:ilvl w:val="0"/>
          <w:numId w:val="1005"/>
        </w:numPr>
        <w:pStyle w:val="Compact"/>
      </w:pPr>
      <w:r>
        <w:rPr>
          <w:iCs/>
          <w:i/>
        </w:rPr>
        <w:t xml:space="preserve">Market Share:</w:t>
      </w:r>
      <w:r>
        <w:t xml:space="preserve"> </w:t>
      </w:r>
      <w:r>
        <w:t xml:space="preserve">% of physics consulting contracts in Moscow defense sector (target: 18% by EOY)</w:t>
      </w:r>
    </w:p>
    <w:p>
      <w:pPr>
        <w:numPr>
          <w:ilvl w:val="0"/>
          <w:numId w:val="1005"/>
        </w:numPr>
        <w:pStyle w:val="Compact"/>
      </w:pPr>
      <w:r>
        <w:rPr>
          <w:iCs/>
          <w:i/>
        </w:rPr>
        <w:t xml:space="preserve">Cultural Integration:</w:t>
      </w:r>
      <w:r>
        <w:t xml:space="preserve"> </w:t>
      </w:r>
      <w:r>
        <w:t xml:space="preserve">Number of Russian-language technical case studies published (target: 12+ annually)</w:t>
      </w:r>
    </w:p>
    <w:p>
      <w:pPr>
        <w:numPr>
          <w:ilvl w:val="0"/>
          <w:numId w:val="1005"/>
        </w:numPr>
        <w:pStyle w:val="Compact"/>
      </w:pPr>
      <w:r>
        <w:rPr>
          <w:iCs/>
          <w:i/>
        </w:rPr>
        <w:t xml:space="preserve">Institutional Trust:</w:t>
      </w:r>
      <w:r>
        <w:t xml:space="preserve"> </w:t>
      </w:r>
      <w:r>
        <w:t xml:space="preserve">Rosatom supplier ranking position (target: Top 3 in quantum physics category)</w:t>
      </w:r>
    </w:p>
    <w:bookmarkEnd w:id="30"/>
    <w:bookmarkStart w:id="31" w:name="conclusion-the-moscow-physics-advantage"/>
    <w:p>
      <w:pPr>
        <w:pStyle w:val="Heading2"/>
      </w:pPr>
      <w:r>
        <w:t xml:space="preserve">Conclusion: The Moscow Physics Advantage</w:t>
      </w:r>
    </w:p>
    <w:p>
      <w:pPr>
        <w:pStyle w:val="FirstParagraph"/>
      </w:pPr>
      <w:r>
        <w:t xml:space="preserve">This Marketing Plan transforms the "Physicist" from a technical resource into Russia's strategic advantage. By embedding our services within Moscow's scientific infrastructure – through Rosatom partnerships, MIPT collaborations, and tailored physics solutions for Russian industry challenges – we position ourselves as indispensable to Russia's technological sovereignty. The plan directly addresses Moscow-specific market gaps where international firms fail to navigate local physics standards or cultural expectations. With the Russia Moscow market demanding specialized physics expertise that bridges academia and industry, our Marketing Plan ensures every initiative delivers measurable value while establishing us as the definitive Physics Partner for Russian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Russia Moscow</dc:title>
  <dc:creator/>
  <dc:language>en</dc:language>
  <cp:keywords/>
  <dcterms:created xsi:type="dcterms:W3CDTF">2026-07-23T01:59:59Z</dcterms:created>
  <dcterms:modified xsi:type="dcterms:W3CDTF">2026-07-23T01:59:59Z</dcterms:modified>
</cp:coreProperties>
</file>

<file path=docProps/custom.xml><?xml version="1.0" encoding="utf-8"?>
<Properties xmlns="http://schemas.openxmlformats.org/officeDocument/2006/custom-properties" xmlns:vt="http://schemas.openxmlformats.org/officeDocument/2006/docPropsVTypes"/>
</file>