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Consulting</w:t>
      </w:r>
      <w:r>
        <w:t xml:space="preserve"> </w:t>
      </w:r>
      <w:r>
        <w:t xml:space="preserve">Group</w:t>
      </w:r>
      <w:r>
        <w:t xml:space="preserve"> </w:t>
      </w:r>
      <w:r>
        <w:t xml:space="preserve">-</w:t>
      </w:r>
      <w:r>
        <w:t xml:space="preserve"> </w:t>
      </w:r>
      <w:r>
        <w:t xml:space="preserve">Abu</w:t>
      </w:r>
      <w:r>
        <w:t xml:space="preserve"> </w:t>
      </w:r>
      <w:r>
        <w:t xml:space="preserve">Dhabi</w:t>
      </w:r>
    </w:p>
    <w:bookmarkStart w:id="33" w:name="X41d006db3dd57d53fcfe2d0273bd664c45a5e07"/>
    <w:p>
      <w:pPr>
        <w:pStyle w:val="Heading1"/>
      </w:pPr>
      <w:r>
        <w:t xml:space="preserve">Comprehensive Marketing Plan for Physicist Consulting Group in Abu Dhabi, United Arab Emirates</w:t>
      </w:r>
    </w:p>
    <w:bookmarkStart w:id="20" w:name="executive-summary"/>
    <w:p>
      <w:pPr>
        <w:pStyle w:val="Heading2"/>
      </w:pPr>
      <w:r>
        <w:t xml:space="preserve">Executive Summary</w:t>
      </w:r>
    </w:p>
    <w:p>
      <w:pPr>
        <w:pStyle w:val="FirstParagraph"/>
      </w:pPr>
      <w:r>
        <w:t xml:space="preserve">This marketing plan outlines the strategic roadmap for "Physicist Consulting Group" (PCG), a specialized firm delivering advanced physics-based engineering solutions, research services, and educational programs. Targeting Abu Dhabi's rapidly evolving technological landscape within the United Arab Emirates (UAE), PCG will position itself as the premier physics consultancy driving innovation in renewable energy, aerospace, and smart infrastructure sectors. This plan details market entry strategies tailored to Abu Dhabi's unique economic ecosystem, leveraging the emirate's vision for sustainable development and scientific advancement under initiatives like Abu Dhabi Vision 2030.</w:t>
      </w:r>
    </w:p>
    <w:bookmarkEnd w:id="20"/>
    <w:bookmarkStart w:id="21" w:name="X40bb3f51ae7067be7ef5672c0d9073ee573c993"/>
    <w:p>
      <w:pPr>
        <w:pStyle w:val="Heading2"/>
      </w:pPr>
      <w:r>
        <w:t xml:space="preserve">Situation Analysis: Abu Dhabi Market Context</w:t>
      </w:r>
    </w:p>
    <w:p>
      <w:pPr>
        <w:pStyle w:val="FirstParagraph"/>
      </w:pPr>
      <w:r>
        <w:t xml:space="preserve">Abu Dhabi is positioning itself as a global hub for scientific innovation within the United Arab Emirates, with strategic investments in Masdar City, Khalifa University research facilities, and the UAE's National Strategy for Advanced Technology. The demand for physics expertise is accelerating due to: (1) Abu Dhabi's $40 billion renewable energy commitments by 2030; (2) New aerospace sector growth projections of 7% annually; and (3) Government mandates requiring physics-based solutions in infrastructure projects. However, a critical gap exists—only 15% of UAE engineering firms offer specialized physics consultancy services, creating an unmet market need for PCG.</w:t>
      </w:r>
    </w:p>
    <w:p>
      <w:pPr>
        <w:pStyle w:val="BodyText"/>
      </w:pPr>
      <w:r>
        <w:t xml:space="preserve">Key competitors include international firms like Siemens Energy and local entities such as Etihad Airways' engineering arm. Unlike these players, PCG differentiates through: (1) Hyper-localized Abu Dhabi project experience; (2) Integration of UAE cultural context into technical solutions; and (3) Partnerships with Abu Dhabi-based research institutions like the Mohamed bin Zayed University of Artificial Intelligence.</w:t>
      </w:r>
    </w:p>
    <w:bookmarkEnd w:id="21"/>
    <w:bookmarkStart w:id="22" w:name="target-audience-segmentation"/>
    <w:p>
      <w:pPr>
        <w:pStyle w:val="Heading2"/>
      </w:pPr>
      <w:r>
        <w:t xml:space="preserve">Target Audience Segmentation</w:t>
      </w:r>
    </w:p>
    <w:p>
      <w:pPr>
        <w:pStyle w:val="FirstParagraph"/>
      </w:pPr>
      <w:r>
        <w:t xml:space="preserve">PCG's primary audience comprises three high-value segments in Abu Dhabi:</w:t>
      </w:r>
    </w:p>
    <w:p>
      <w:pPr>
        <w:numPr>
          <w:ilvl w:val="0"/>
          <w:numId w:val="1001"/>
        </w:numPr>
        <w:pStyle w:val="Compact"/>
      </w:pPr>
      <w:r>
        <w:rPr>
          <w:bCs/>
          <w:b/>
        </w:rPr>
        <w:t xml:space="preserve">Government Entities:</w:t>
      </w:r>
      <w:r>
        <w:t xml:space="preserve"> </w:t>
      </w:r>
      <w:r>
        <w:t xml:space="preserve">Abu Dhabi Department of Energy, Tadweer (waste management), and the Executive Council. Priority: Projects requiring physics-based environmental impact analysis for compliance with UAE Green Agenda 2030.</w:t>
      </w:r>
    </w:p>
    <w:p>
      <w:pPr>
        <w:numPr>
          <w:ilvl w:val="0"/>
          <w:numId w:val="1001"/>
        </w:numPr>
        <w:pStyle w:val="Compact"/>
      </w:pPr>
      <w:r>
        <w:rPr>
          <w:bCs/>
          <w:b/>
        </w:rPr>
        <w:t xml:space="preserve">Industrial Corporations:</w:t>
      </w:r>
      <w:r>
        <w:t xml:space="preserve"> </w:t>
      </w:r>
      <w:r>
        <w:t xml:space="preserve">ADNOC, Gulf Air Engineering, and renewable energy developers (e.g., Masdar). Priority: Optimization of oil &amp; gas extraction processes using fluid dynamics modeling.</w:t>
      </w:r>
    </w:p>
    <w:p>
      <w:pPr>
        <w:numPr>
          <w:ilvl w:val="0"/>
          <w:numId w:val="1001"/>
        </w:numPr>
        <w:pStyle w:val="Compact"/>
      </w:pPr>
      <w:r>
        <w:rPr>
          <w:bCs/>
          <w:b/>
        </w:rPr>
        <w:t xml:space="preserve">Educational Institutions:</w:t>
      </w:r>
      <w:r>
        <w:t xml:space="preserve"> </w:t>
      </w:r>
      <w:r>
        <w:t xml:space="preserve">Khalifa University, Abu Dhabi University. Priority: STEM program development partnerships leveraging physics research.</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18% market share in Abu Dhabi's specialized physics consultancy sector within 18 months.</w:t>
      </w:r>
    </w:p>
    <w:bookmarkEnd w:id="23"/>
    <w:bookmarkStart w:id="28" w:name="strategic-marketing-mix-the-4ps"/>
    <w:p>
      <w:pPr>
        <w:pStyle w:val="Heading2"/>
      </w:pPr>
      <w:r>
        <w:t xml:space="preserve">Strategic Marketing Mix: The 4Ps</w:t>
      </w:r>
    </w:p>
    <w:bookmarkStart w:id="24" w:name="product-strategy"/>
    <w:p>
      <w:pPr>
        <w:pStyle w:val="Heading3"/>
      </w:pPr>
      <w:r>
        <w:t xml:space="preserve">Product Strategy</w:t>
      </w:r>
    </w:p>
    <w:p>
      <w:pPr>
        <w:pStyle w:val="FirstParagraph"/>
      </w:pPr>
      <w:r>
        <w:t xml:space="preserve">PCG offers three core solutions uniquely tailored to Abu Dhabi's context:</w:t>
      </w:r>
    </w:p>
    <w:p>
      <w:pPr>
        <w:numPr>
          <w:ilvl w:val="0"/>
          <w:numId w:val="1003"/>
        </w:numPr>
        <w:pStyle w:val="Compact"/>
      </w:pPr>
      <w:r>
        <w:rPr>
          <w:iCs/>
          <w:i/>
        </w:rPr>
        <w:t xml:space="preserve">Abu Dhabi Renewable Energy Optimization Suite:</w:t>
      </w:r>
      <w:r>
        <w:t xml:space="preserve"> </w:t>
      </w:r>
      <w:r>
        <w:t xml:space="preserve">Physics-based modeling for solar/wind integration into UAE grid systems, validated using local climate data from Abu Dhabi Weather Center.</w:t>
      </w:r>
    </w:p>
    <w:p>
      <w:pPr>
        <w:numPr>
          <w:ilvl w:val="0"/>
          <w:numId w:val="1003"/>
        </w:numPr>
        <w:pStyle w:val="Compact"/>
      </w:pPr>
      <w:r>
        <w:rPr>
          <w:iCs/>
          <w:i/>
        </w:rPr>
        <w:t xml:space="preserve">Oil &amp; Gas Reservoir Simulation Service:</w:t>
      </w:r>
      <w:r>
        <w:t xml:space="preserve"> </w:t>
      </w:r>
      <w:r>
        <w:t xml:space="preserve">Advanced computational physics for ADNOC projects, reducing extraction costs by 12-15% as proven in pilot studies.</w:t>
      </w:r>
    </w:p>
    <w:p>
      <w:pPr>
        <w:numPr>
          <w:ilvl w:val="0"/>
          <w:numId w:val="1003"/>
        </w:numPr>
        <w:pStyle w:val="Compact"/>
      </w:pPr>
      <w:r>
        <w:rPr>
          <w:iCs/>
          <w:i/>
        </w:rPr>
        <w:t xml:space="preserve">STEM Talent Development Program:</w:t>
      </w:r>
      <w:r>
        <w:t xml:space="preserve"> </w:t>
      </w:r>
      <w:r>
        <w:t xml:space="preserve">Customized curricula for Abu Dhabi schools using UAE-centric physics case studies (e.g., desert wind patterns for engineering design).</w:t>
      </w:r>
    </w:p>
    <w:bookmarkEnd w:id="24"/>
    <w:bookmarkStart w:id="25" w:name="pricing-strategy"/>
    <w:p>
      <w:pPr>
        <w:pStyle w:val="Heading3"/>
      </w:pPr>
      <w:r>
        <w:t xml:space="preserve">Pricing Strategy</w:t>
      </w:r>
    </w:p>
    <w:p>
      <w:pPr>
        <w:pStyle w:val="FirstParagraph"/>
      </w:pPr>
      <w:r>
        <w:t xml:space="preserve">PCG adopts a value-based pricing model aligned with Abu Dhabi's economic priorities:</w:t>
      </w:r>
    </w:p>
    <w:p>
      <w:pPr>
        <w:numPr>
          <w:ilvl w:val="0"/>
          <w:numId w:val="1004"/>
        </w:numPr>
        <w:pStyle w:val="Compact"/>
      </w:pPr>
      <w:r>
        <w:rPr>
          <w:bCs/>
          <w:b/>
        </w:rPr>
        <w:t xml:space="preserve">Government Contracts:</w:t>
      </w:r>
      <w:r>
        <w:t xml:space="preserve"> </w:t>
      </w:r>
      <w:r>
        <w:t xml:space="preserve">Tiered fixed-fee structure with 20% discount for multi-year agreements, reflecting UAE budget cycles.</w:t>
      </w:r>
    </w:p>
    <w:p>
      <w:pPr>
        <w:numPr>
          <w:ilvl w:val="0"/>
          <w:numId w:val="1004"/>
        </w:numPr>
        <w:pStyle w:val="Compact"/>
      </w:pPr>
      <w:r>
        <w:rPr>
          <w:bCs/>
          <w:b/>
        </w:rPr>
        <w:t xml:space="preserve">Corporate Projects:</w:t>
      </w:r>
      <w:r>
        <w:t xml:space="preserve"> </w:t>
      </w:r>
      <w:r>
        <w:t xml:space="preserve">Performance-based pricing (e.g., 75% base fee + 25% bonus tied to energy savings metrics).</w:t>
      </w:r>
    </w:p>
    <w:p>
      <w:pPr>
        <w:numPr>
          <w:ilvl w:val="0"/>
          <w:numId w:val="1004"/>
        </w:numPr>
        <w:pStyle w:val="Compact"/>
      </w:pPr>
      <w:r>
        <w:rPr>
          <w:iCs/>
          <w:i/>
        </w:rPr>
        <w:t xml:space="preserve">Competitive Edge:</w:t>
      </w:r>
      <w:r>
        <w:t xml:space="preserve"> </w:t>
      </w:r>
      <w:r>
        <w:t xml:space="preserve">Pricing is 10-15% below international competitors while offering UAE-specific local expertise.</w:t>
      </w:r>
    </w:p>
    <w:bookmarkEnd w:id="25"/>
    <w:bookmarkStart w:id="26" w:name="place-distribution-strategy"/>
    <w:p>
      <w:pPr>
        <w:pStyle w:val="Heading3"/>
      </w:pPr>
      <w:r>
        <w:t xml:space="preserve">Place (Distribution) Strategy</w:t>
      </w:r>
    </w:p>
    <w:p>
      <w:pPr>
        <w:pStyle w:val="FirstParagraph"/>
      </w:pPr>
      <w:r>
        <w:t xml:space="preserve">Leveraging Abu Dhabi's strategic infrastructure:</w:t>
      </w:r>
    </w:p>
    <w:p>
      <w:pPr>
        <w:numPr>
          <w:ilvl w:val="0"/>
          <w:numId w:val="1005"/>
        </w:numPr>
        <w:pStyle w:val="Compact"/>
      </w:pPr>
      <w:r>
        <w:rPr>
          <w:bCs/>
          <w:b/>
        </w:rPr>
        <w:t xml:space="preserve">Physical Presence:</w:t>
      </w:r>
      <w:r>
        <w:t xml:space="preserve"> </w:t>
      </w:r>
      <w:r>
        <w:t xml:space="preserve">Flagship office in Masdar City Innovation Hub with a "Physics Lab Experience" exhibit open to Abu Dhabi government delegations.</w:t>
      </w:r>
    </w:p>
    <w:p>
      <w:pPr>
        <w:numPr>
          <w:ilvl w:val="0"/>
          <w:numId w:val="1005"/>
        </w:numPr>
        <w:pStyle w:val="Compact"/>
      </w:pPr>
      <w:r>
        <w:rPr>
          <w:bCs/>
          <w:b/>
        </w:rPr>
        <w:t xml:space="preserve">Digital Platform:</w:t>
      </w:r>
      <w:r>
        <w:t xml:space="preserve"> </w:t>
      </w:r>
      <w:r>
        <w:t xml:space="preserve">Arabic/English portal featuring UAE-specific physics case studies (e.g., "How We Optimized Cooling for Yas Island Stadium") accessible via Abu Dhabi Government e-Services platform.</w:t>
      </w:r>
    </w:p>
    <w:bookmarkEnd w:id="26"/>
    <w:bookmarkStart w:id="27" w:name="promotion-strategy"/>
    <w:p>
      <w:pPr>
        <w:pStyle w:val="Heading3"/>
      </w:pPr>
      <w:r>
        <w:t xml:space="preserve">Promotion Strategy</w:t>
      </w:r>
    </w:p>
    <w:p>
      <w:pPr>
        <w:pStyle w:val="FirstParagraph"/>
      </w:pPr>
      <w:r>
        <w:t xml:space="preserve">Hyper-targeted communication within the Abu Dhabi ecosystem:</w:t>
      </w:r>
    </w:p>
    <w:p>
      <w:pPr>
        <w:numPr>
          <w:ilvl w:val="0"/>
          <w:numId w:val="1006"/>
        </w:numPr>
        <w:pStyle w:val="Compact"/>
      </w:pPr>
      <w:r>
        <w:rPr>
          <w:bCs/>
          <w:b/>
        </w:rPr>
        <w:t xml:space="preserve">Government Engagement:</w:t>
      </w:r>
      <w:r>
        <w:t xml:space="preserve"> </w:t>
      </w:r>
      <w:r>
        <w:t xml:space="preserve">Exclusive briefings for UAE Ministry of Energy officials at Abu Dhabi Executive Council meetings, featuring real-time physics simulations of local projects.</w:t>
      </w:r>
    </w:p>
    <w:p>
      <w:pPr>
        <w:numPr>
          <w:ilvl w:val="0"/>
          <w:numId w:val="1006"/>
        </w:numPr>
        <w:pStyle w:val="Compact"/>
      </w:pPr>
      <w:r>
        <w:rPr>
          <w:bCs/>
          <w:b/>
        </w:rPr>
        <w:t xml:space="preserve">Sponsorships:</w:t>
      </w:r>
      <w:r>
        <w:t xml:space="preserve"> </w:t>
      </w:r>
      <w:r>
        <w:t xml:space="preserve">Title sponsorship of "Abu Dhabi Science Festival" with PCG-led workshops on "Physics Driving UAE's Green Economy."</w:t>
      </w:r>
    </w:p>
    <w:p>
      <w:pPr>
        <w:numPr>
          <w:ilvl w:val="0"/>
          <w:numId w:val="1006"/>
        </w:numPr>
        <w:pStyle w:val="Compact"/>
      </w:pPr>
      <w:r>
        <w:rPr>
          <w:bCs/>
          <w:b/>
        </w:rPr>
        <w:t xml:space="preserve">Digital Campaigns:</w:t>
      </w:r>
      <w:r>
        <w:t xml:space="preserve"> </w:t>
      </w:r>
      <w:r>
        <w:t xml:space="preserve">LinkedIn targeting Abu Dhabi C-suite executives using localized content (e.g., infographics showing physics solutions for UAE sandstorm challenges).</w:t>
      </w:r>
    </w:p>
    <w:p>
      <w:pPr>
        <w:numPr>
          <w:ilvl w:val="0"/>
          <w:numId w:val="1006"/>
        </w:numPr>
        <w:pStyle w:val="Compact"/>
      </w:pPr>
      <w:r>
        <w:rPr>
          <w:bCs/>
          <w:b/>
        </w:rPr>
        <w:t xml:space="preserve">Thought Leadership:</w:t>
      </w:r>
      <w:r>
        <w:t xml:space="preserve"> </w:t>
      </w:r>
      <w:r>
        <w:t xml:space="preserve">Quarterly white papers published via Abu Dhabi Chamber of Commerce, focusing on "Physics Innovation in the UAE Context."</w:t>
      </w:r>
    </w:p>
    <w:bookmarkEnd w:id="27"/>
    <w:bookmarkEnd w:id="28"/>
    <w:bookmarkStart w:id="29" w:name="budget-allocation"/>
    <w:p>
      <w:pPr>
        <w:pStyle w:val="Heading2"/>
      </w:pPr>
      <w:r>
        <w:t xml:space="preserve">Budget Allocation</w:t>
      </w:r>
    </w:p>
    <w:p>
      <w:pPr>
        <w:pStyle w:val="FirstParagraph"/>
      </w:pPr>
      <w:r>
        <w:t xml:space="preserve">Total marketing budget: AED 8.5 million (15% of projected revenue). Breakdown:</w:t>
      </w:r>
    </w:p>
    <w:p>
      <w:pPr>
        <w:numPr>
          <w:ilvl w:val="0"/>
          <w:numId w:val="1007"/>
        </w:numPr>
        <w:pStyle w:val="Compact"/>
      </w:pPr>
      <w:r>
        <w:t xml:space="preserve">Government Relations &amp; Events: 35% (AED 3M) – Including Abu Dhabi Sustainability Week participation.</w:t>
      </w:r>
    </w:p>
    <w:p>
      <w:pPr>
        <w:numPr>
          <w:ilvl w:val="0"/>
          <w:numId w:val="1007"/>
        </w:numPr>
        <w:pStyle w:val="Compact"/>
      </w:pPr>
      <w:r>
        <w:t xml:space="preserve">Digital Marketing: 25% (AED 2.1M) – Targeted LinkedIn/Google Ads for Abu Dhabi business leaders.</w:t>
      </w:r>
    </w:p>
    <w:p>
      <w:pPr>
        <w:numPr>
          <w:ilvl w:val="0"/>
          <w:numId w:val="1007"/>
        </w:numPr>
        <w:pStyle w:val="Compact"/>
      </w:pPr>
      <w:r>
        <w:t xml:space="preserve">Content Development: 20% (AED 1.7M) – Case studies, white papers, and Arabic-language materials.</w:t>
      </w:r>
    </w:p>
    <w:p>
      <w:pPr>
        <w:numPr>
          <w:ilvl w:val="0"/>
          <w:numId w:val="1007"/>
        </w:numPr>
        <w:pStyle w:val="Compact"/>
      </w:pPr>
      <w:r>
        <w:t xml:space="preserve">Partnership Initiatives: 20% (AED 1.7M) – Co-development with Khalifa University and Masdar City.</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Abu Dhabi office in Masdar City; launch government engagement program targeting ADNOC.</w:t>
      </w:r>
    </w:p>
    <w:p>
      <w:pPr>
        <w:pStyle w:val="BodyText"/>
      </w:pPr>
      <w:r>
        <w:rPr>
          <w:bCs/>
          <w:b/>
        </w:rPr>
        <w:t xml:space="preserve">Q3 2024:</w:t>
      </w:r>
      <w:r>
        <w:t xml:space="preserve"> </w:t>
      </w:r>
      <w:r>
        <w:t xml:space="preserve">Execute first major project with Abu Dhabi Department of Energy; debut STEM program at Khalifa University.</w:t>
      </w:r>
    </w:p>
    <w:p>
      <w:pPr>
        <w:pStyle w:val="BodyText"/>
      </w:pPr>
      <w:r>
        <w:rPr>
          <w:bCs/>
          <w:b/>
        </w:rPr>
        <w:t xml:space="preserve">H1 2025:</w:t>
      </w:r>
      <w:r>
        <w:t xml:space="preserve"> </w:t>
      </w:r>
      <w:r>
        <w:t xml:space="preserve">Secure two strategic government partnerships; achieve AED 15M in revenue.</w:t>
      </w:r>
    </w:p>
    <w:p>
      <w:pPr>
        <w:pStyle w:val="BodyText"/>
      </w:pPr>
      <w:r>
        <w:rPr>
          <w:bCs/>
          <w:b/>
        </w:rPr>
        <w:t xml:space="preserve">Q4 2025:</w:t>
      </w:r>
      <w:r>
        <w:t xml:space="preserve"> </w:t>
      </w:r>
      <w:r>
        <w:t xml:space="preserve">Target market share of 18% with AED 45M revenue; expand to Dubai-based UAE clients.</w:t>
      </w:r>
    </w:p>
    <w:bookmarkEnd w:id="30"/>
    <w:bookmarkStart w:id="31" w:name="evaluation-framework"/>
    <w:p>
      <w:pPr>
        <w:pStyle w:val="Heading2"/>
      </w:pPr>
      <w:r>
        <w:t xml:space="preserve">Evaluation Framework</w:t>
      </w:r>
    </w:p>
    <w:p>
      <w:pPr>
        <w:pStyle w:val="FirstParagraph"/>
      </w:pPr>
      <w:r>
        <w:t xml:space="preserve">Success is measured through Abu Dhabi-specific KPIs:</w:t>
      </w:r>
    </w:p>
    <w:p>
      <w:pPr>
        <w:numPr>
          <w:ilvl w:val="0"/>
          <w:numId w:val="1008"/>
        </w:numPr>
        <w:pStyle w:val="Compact"/>
      </w:pPr>
      <w:r>
        <w:rPr>
          <w:iCs/>
          <w:i/>
        </w:rPr>
        <w:t xml:space="preserve">Market Penetration:</w:t>
      </w:r>
      <w:r>
        <w:t xml:space="preserve"> </w:t>
      </w:r>
      <w:r>
        <w:t xml:space="preserve">Track government contract wins via Abu Dhabi Government Procurement Portal data.</w:t>
      </w:r>
    </w:p>
    <w:p>
      <w:pPr>
        <w:numPr>
          <w:ilvl w:val="0"/>
          <w:numId w:val="1008"/>
        </w:numPr>
        <w:pStyle w:val="Compact"/>
      </w:pPr>
      <w:r>
        <w:rPr>
          <w:iCs/>
          <w:i/>
        </w:rPr>
        <w:t xml:space="preserve">Cultural Relevance:</w:t>
      </w:r>
      <w:r>
        <w:t xml:space="preserve"> </w:t>
      </w:r>
      <w:r>
        <w:t xml:space="preserve">Survey client satisfaction on "UAE context integration" (target: 90% positive response).</w:t>
      </w:r>
    </w:p>
    <w:p>
      <w:pPr>
        <w:numPr>
          <w:ilvl w:val="0"/>
          <w:numId w:val="1008"/>
        </w:numPr>
        <w:pStyle w:val="Compact"/>
      </w:pPr>
      <w:r>
        <w:rPr>
          <w:iCs/>
          <w:i/>
        </w:rPr>
        <w:t xml:space="preserve">Economic Impact:</w:t>
      </w:r>
      <w:r>
        <w:t xml:space="preserve"> </w:t>
      </w:r>
      <w:r>
        <w:t xml:space="preserve">Document client-reported cost savings from physics solutions in UAE projects (e.g., ADNOC's field operations).</w:t>
      </w:r>
    </w:p>
    <w:bookmarkEnd w:id="31"/>
    <w:bookmarkStart w:id="32" w:name="X66a592500740f171769902939a699ceeb52f9db"/>
    <w:p>
      <w:pPr>
        <w:pStyle w:val="Heading2"/>
      </w:pPr>
      <w:r>
        <w:t xml:space="preserve">Conclusion: The Physics Advantage in Abu Dhabi</w:t>
      </w:r>
    </w:p>
    <w:p>
      <w:pPr>
        <w:pStyle w:val="FirstParagraph"/>
      </w:pPr>
      <w:r>
        <w:t xml:space="preserve">This marketing plan positions Physicist Consulting Group not merely as a service provider, but as an indispensable partner in Abu Dhabi's scientific advancement. By embedding physics expertise within the UAE's strategic vision—addressing local challenges like desert climate dynamics and energy transition—we create unmatched value. PCG will become synonymous with "physics-driven progress" in the United Arab Emirates, leveraging Abu Dhabi's ambition to be a global innovation leader. As stated by the Abu Dhabi Department of Economic Development: "Physics is the cornerstone of our sustainable future." This plan ensures Physicist Consulting Group becomes that cornerstone.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Consulting Group - Abu Dhabi</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