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Melbourne's</w:t>
      </w:r>
      <w:r>
        <w:t xml:space="preserve"> </w:t>
      </w:r>
      <w:r>
        <w:t xml:space="preserve">Premier</w:t>
      </w:r>
      <w:r>
        <w:t xml:space="preserve"> </w:t>
      </w:r>
      <w:r>
        <w:t xml:space="preserve">Educational</w:t>
      </w:r>
      <w:r>
        <w:t xml:space="preserve"> </w:t>
      </w:r>
      <w:r>
        <w:t xml:space="preserve">Partner</w:t>
      </w:r>
    </w:p>
    <w:bookmarkStart w:id="29" w:name="Xfc69a696703ea15624067078922a067801c86b7"/>
    <w:p>
      <w:pPr>
        <w:pStyle w:val="Heading1"/>
      </w:pPr>
      <w:r>
        <w:t xml:space="preserve">Marketing Plan: Professor - Elevating Education in Australia Melbourne</w:t>
      </w:r>
    </w:p>
    <w:bookmarkStart w:id="20" w:name="executive-summary"/>
    <w:p>
      <w:pPr>
        <w:pStyle w:val="Heading2"/>
      </w:pPr>
      <w:r>
        <w:t xml:space="preserve">Executive Summary</w:t>
      </w:r>
    </w:p>
    <w:p>
      <w:pPr>
        <w:pStyle w:val="FirstParagraph"/>
      </w:pPr>
      <w:r>
        <w:t xml:space="preserve">This comprehensive Marketing Plan outlines the strategy for "Professor," a cutting-edge educational platform designed specifically for students across Australia Melbourne. Targeting parents, educators, and learners seeking personalized academic excellence within the unique Victorian education ecosystem, Professor positions itself as Melbourne's most trusted academic partner. By leveraging deep local insights into VCE/VCAL curricula, Melbourne's competitive academic landscape, and the distinct cultural nuances of Australian families, this plan details a 12-month roadmap to achieve 30% market penetration among target demographics in Greater Melbourne within two years. The core mission is to make "Professor" synonymous with transformative learning outcomes for every student navigating Australia Melbourne's education journey.</w:t>
      </w:r>
    </w:p>
    <w:bookmarkEnd w:id="20"/>
    <w:bookmarkStart w:id="21" w:name="X175af48b1004d8c79dbf14b5d0db75d32ae96ed"/>
    <w:p>
      <w:pPr>
        <w:pStyle w:val="Heading2"/>
      </w:pPr>
      <w:r>
        <w:t xml:space="preserve">Situation Analysis: Professor in the Australia Melbourne Context</w:t>
      </w:r>
    </w:p>
    <w:p>
      <w:pPr>
        <w:pStyle w:val="FirstParagraph"/>
      </w:pPr>
      <w:r>
        <w:t xml:space="preserve">Australia Melbourne presents a highly competitive, high-stakes academic environment where 65% of secondary students engage with external tutoring (Victorian Curriculum and Assessment Authority, 2023). The demand for quality, culturally attuned educational support is immense but fragmented. Existing players lack deep local knowledge of Melbourne's school systems (e.g., Melbourne High School's rigorous standards vs. state colleges in Casey), fail to address specific challenges like VCE subject bottlenecks (e.g., Chemistry, Maths Methods), and offer generic solutions not tailored to Australian teaching methodologies.</w:t>
      </w:r>
    </w:p>
    <w:p>
      <w:pPr>
        <w:pStyle w:val="BodyText"/>
      </w:pPr>
      <w:r>
        <w:t xml:space="preserve">Professor directly addresses these gaps. Our platform is built by Melbourne-based educators with 15+ years of local experience across public and private schools in the CBD, Eastern Suburbs, and Western Metro regions. We understand the pressure points: NAPLAN results influencing school rankings, VCE study design changes impacting preparation strategies, and parental expectations shaped by Melbourne's diverse cultural communities (e.g., Vietnamese-speaking families prioritizing STEM support). This hyper-local expertise is our core differentiator within Australia Melbourne.</w:t>
      </w:r>
    </w:p>
    <w:bookmarkEnd w:id="21"/>
    <w:bookmarkStart w:id="22" w:name="target-audience"/>
    <w:p>
      <w:pPr>
        <w:pStyle w:val="Heading2"/>
      </w:pPr>
      <w:r>
        <w:t xml:space="preserve">Target Audience</w:t>
      </w:r>
    </w:p>
    <w:p>
      <w:pPr>
        <w:pStyle w:val="FirstParagraph"/>
      </w:pPr>
      <w:r>
        <w:t xml:space="preserve">1. **Primary:** Parents of students in Years 9-12 across Melbourne, particularly those in high-demand suburbs (e.g., Caulfield, Camberwell, Oakleigh) seeking results-driven VCE/VCAL support. These are highly engaged parents who value local expertise over overseas platforms.</w:t>
      </w:r>
    </w:p>
    <w:p>
      <w:pPr>
        <w:pStyle w:val="BodyText"/>
      </w:pPr>
      <w:r>
        <w:t xml:space="preserve">2. **Secondary:** Melbourne public and private schools (e.g., Mac.Robertson Girls' High School, Trinity College) seeking supplemental teaching resources or professional development for staff aligned with Victorian curricula.</w:t>
      </w:r>
    </w:p>
    <w:p>
      <w:pPr>
        <w:pStyle w:val="BodyText"/>
      </w:pPr>
      <w:r>
        <w:t xml:space="preserve">3. **Tertiary:** University students in Melbourne (e.g., at UniMelb, RMIT) requiring subject-specific tutoring for foundational courses (e.g., Economics 101, Engineering Math), where local academic context is crucial.</w:t>
      </w:r>
    </w:p>
    <w:bookmarkEnd w:id="22"/>
    <w:bookmarkStart w:id="23" w:name="X3ff1c50ad661a84c9a31dabda619b3f87feedae"/>
    <w:p>
      <w:pPr>
        <w:pStyle w:val="Heading2"/>
      </w:pPr>
      <w:r>
        <w:t xml:space="preserve">Marketing Objectives (Australia Melbourne Focus)</w:t>
      </w:r>
    </w:p>
    <w:p>
      <w:pPr>
        <w:numPr>
          <w:ilvl w:val="0"/>
          <w:numId w:val="1001"/>
        </w:numPr>
        <w:pStyle w:val="Compact"/>
      </w:pPr>
      <w:r>
        <w:t xml:space="preserve">Attain 5,000 active users across Melbourne within 18 months, achieving a 4.7+ average rating on local platforms (e.g., Google Maps, Facebook).</w:t>
      </w:r>
    </w:p>
    <w:p>
      <w:pPr>
        <w:numPr>
          <w:ilvl w:val="0"/>
          <w:numId w:val="1001"/>
        </w:numPr>
        <w:pStyle w:val="Compact"/>
      </w:pPr>
      <w:r>
        <w:t xml:space="preserve">Secure partnerships with 30+ schools across Melbourne by Year 2.</w:t>
      </w:r>
    </w:p>
    <w:p>
      <w:pPr>
        <w:numPr>
          <w:ilvl w:val="0"/>
          <w:numId w:val="1001"/>
        </w:numPr>
        <w:pStyle w:val="Compact"/>
      </w:pPr>
      <w:r>
        <w:t xml:space="preserve">Generate $500,000 in Melbourne-specific revenue within the first year.</w:t>
      </w:r>
    </w:p>
    <w:p>
      <w:pPr>
        <w:numPr>
          <w:ilvl w:val="0"/>
          <w:numId w:val="1001"/>
        </w:numPr>
        <w:pStyle w:val="Compact"/>
      </w:pPr>
      <w:r>
        <w:t xml:space="preserve">Become the #1 recommended tutoring platform for VCE Chemistry and Maths Methods among parents in Greater Melbourne (measured via quarterly surveys).</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"Professor: Melbourne's Trusted Academic Partner – Where Local Expertise Meets Every Student's Potential." We are not just another platform; we are embedded within Australia Melbourne's education fabric.</w:t>
      </w:r>
    </w:p>
    <w:p>
      <w:pPr>
        <w:pStyle w:val="BodyText"/>
      </w:pPr>
      <w:r>
        <w:rPr>
          <w:bCs/>
          <w:b/>
        </w:rPr>
        <w:t xml:space="preserve">Digital &amp; Community Marketing (Melbourne-Centric):</w:t>
      </w:r>
    </w:p>
    <w:p>
      <w:pPr>
        <w:numPr>
          <w:ilvl w:val="0"/>
          <w:numId w:val="1002"/>
        </w:numPr>
        <w:pStyle w:val="Compact"/>
      </w:pPr>
      <w:r>
        <w:t xml:space="preserve">**Hyper-Local SEO:** Optimize content for "VCE tutor Melbourne," "Maths Methods tutor near me," "Professor tutoring [Suburb Name]." Target Melbourne-specific keywords driving 15%+ monthly search volume.</w:t>
      </w:r>
    </w:p>
    <w:p>
      <w:pPr>
        <w:numPr>
          <w:ilvl w:val="0"/>
          <w:numId w:val="1002"/>
        </w:numPr>
        <w:pStyle w:val="Compact"/>
      </w:pPr>
      <w:r>
        <w:t xml:space="preserve">**Community Events:** Host free, location-specific workshops: "VCE Physics Crash Course @ State Library of Victoria (CBD)," "Study Skills for Year 10 at Dandenong Library." Partner with community hubs like MCG precinct or Melbourne Central.</w:t>
      </w:r>
    </w:p>
    <w:p>
      <w:pPr>
        <w:numPr>
          <w:ilvl w:val="0"/>
          <w:numId w:val="1002"/>
        </w:numPr>
        <w:pStyle w:val="Compact"/>
      </w:pPr>
      <w:r>
        <w:t xml:space="preserve">**School Ambassador Program:** Recruit respected teachers from key Melbourne schools (e.g., Scotch College, Wesley College) as "Professor Ambassadors" to speak at parent-teacher nights and share authentic testimonials.</w:t>
      </w:r>
    </w:p>
    <w:p>
      <w:pPr>
        <w:numPr>
          <w:ilvl w:val="0"/>
          <w:numId w:val="1002"/>
        </w:numPr>
        <w:pStyle w:val="Compact"/>
      </w:pPr>
      <w:r>
        <w:t xml:space="preserve">**Social Media:** Run targeted Instagram/Facebook campaigns showcasing Melbourne student success stories: "How Aiden from Glen Waverley improved his VCE English by 25% with Professor." Use Melbourne landmarks (e.g., Yarra River, Queen Victoria Market) as backdrop in ads.</w:t>
      </w:r>
    </w:p>
    <w:p>
      <w:pPr>
        <w:pStyle w:val="FirstParagraph"/>
      </w:pPr>
      <w:r>
        <w:rPr>
          <w:bCs/>
          <w:b/>
        </w:rPr>
        <w:t xml:space="preserve">Partnership &amp; Sales Strategy:</w:t>
      </w:r>
    </w:p>
    <w:p>
      <w:pPr>
        <w:numPr>
          <w:ilvl w:val="0"/>
          <w:numId w:val="1003"/>
        </w:numPr>
        <w:pStyle w:val="Compact"/>
      </w:pPr>
      <w:r>
        <w:t xml:space="preserve">**School Partnerships:** Develop tiered packages for schools: "Professor School Connect" (complimentary staff training on VCE strategies), "Student Access Program" (discounted subscriptions for school cohorts).</w:t>
      </w:r>
    </w:p>
    <w:p>
      <w:pPr>
        <w:numPr>
          <w:ilvl w:val="0"/>
          <w:numId w:val="1003"/>
        </w:numPr>
        <w:pStyle w:val="Compact"/>
      </w:pPr>
      <w:r>
        <w:t xml:space="preserve">**University Collaborations:** Partner with UniMelb's Student Life and RMIT’s Academic Skills Centre to offer Professor-led workshops during peak study periods, targeting Melbourne university students.</w:t>
      </w:r>
    </w:p>
    <w:bookmarkEnd w:id="24"/>
    <w:bookmarkStart w:id="25" w:name="X3e49dab3fcac61ffd1687597621287b3e9fa72f"/>
    <w:p>
      <w:pPr>
        <w:pStyle w:val="Heading2"/>
      </w:pPr>
      <w:r>
        <w:t xml:space="preserve">Competitive Advantage: Why Professor Wins in Australia Melbourne</w:t>
      </w:r>
    </w:p>
    <w:p>
      <w:pPr>
        <w:pStyle w:val="FirstParagraph"/>
      </w:pPr>
      <w:r>
        <w:t xml:space="preserve">The table below demonstrates Professor's superiority within the local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Professor (Melbourne Focus)</w:t>
            </w:r>
          </w:p>
        </w:tc>
        <w:tc>
          <w:tcPr/>
          <w:p>
            <w:pPr>
              <w:pStyle w:val="Compact"/>
              <w:jc w:val="left"/>
            </w:pPr>
            <w:r>
              <w:t xml:space="preserve">Generic National Platform</w:t>
            </w:r>
          </w:p>
        </w:tc>
      </w:tr>
      <w:tr>
        <w:tc>
          <w:tcPr/>
          <w:p>
            <w:pPr>
              <w:pStyle w:val="Compact"/>
              <w:jc w:val="left"/>
            </w:pPr>
            <w:r>
              <w:rPr>
                <w:bCs/>
                <w:b/>
              </w:rPr>
              <w:t xml:space="preserve">Curriculum Knowledge</w:t>
            </w:r>
          </w:p>
        </w:tc>
        <w:tc>
          <w:tcPr/>
          <w:p>
            <w:pPr>
              <w:pStyle w:val="Compact"/>
              <w:jc w:val="left"/>
            </w:pPr>
            <w:r>
              <w:t xml:space="preserve">Melbourne-based educators fluent in VCE/VCAL, updated for 2024 exam changes.</w:t>
            </w:r>
          </w:p>
        </w:tc>
        <w:tc>
          <w:tcPr/>
          <w:p>
            <w:pPr>
              <w:pStyle w:val="Compact"/>
              <w:jc w:val="left"/>
            </w:pPr>
            <w:r>
              <w:t xml:space="preserve">Generic content; outdated for Victorian specific requirements.</w:t>
            </w:r>
          </w:p>
        </w:tc>
      </w:tr>
      <w:tr>
        <w:tc>
          <w:tcPr/>
          <w:p>
            <w:pPr>
              <w:pStyle w:val="Compact"/>
              <w:jc w:val="left"/>
            </w:pPr>
            <w:r>
              <w:rPr>
                <w:bCs/>
                <w:b/>
              </w:rPr>
              <w:t xml:space="preserve">Local Tutor Sourcing</w:t>
            </w:r>
          </w:p>
        </w:tc>
        <w:tc>
          <w:tcPr/>
          <w:p>
            <w:pPr>
              <w:pStyle w:val="Compact"/>
              <w:jc w:val="left"/>
            </w:pPr>
            <w:r>
              <w:t xml:space="preserve">Tutors are Melbourne residents with proven local school experience (e.g., "Sarah, VCE English teacher at Melbourne High").</w:t>
            </w:r>
          </w:p>
        </w:tc>
        <w:tc>
          <w:tcPr/>
          <w:p>
            <w:pPr>
              <w:pStyle w:val="Compact"/>
              <w:jc w:val="left"/>
            </w:pPr>
            <w:r>
              <w:t xml:space="preserve">Often offshore or non-Melbourne-based tutors lacking context.</w:t>
            </w:r>
          </w:p>
        </w:tc>
      </w:tr>
      <w:tr>
        <w:tc>
          <w:tcPr/>
          <w:p>
            <w:pPr>
              <w:pStyle w:val="Compact"/>
              <w:jc w:val="left"/>
            </w:pPr>
            <w:r>
              <w:rPr>
                <w:bCs/>
                <w:b/>
              </w:rPr>
              <w:t xml:space="preserve">Community Integration</w:t>
            </w:r>
          </w:p>
        </w:tc>
        <w:tc>
          <w:tcPr/>
          <w:p>
            <w:pPr>
              <w:pStyle w:val="Compact"/>
              <w:jc w:val="left"/>
            </w:pPr>
            <w:r>
              <w:t xml:space="preserve">Active in Melbourne parent groups (e.g., "Melbourne Parents Network"), local school events, and community centers.</w:t>
            </w:r>
          </w:p>
        </w:tc>
        <w:tc>
          <w:tcPr/>
          <w:p>
            <w:pPr>
              <w:pStyle w:val="Compact"/>
              <w:jc w:val="left"/>
            </w:pPr>
            <w:r>
              <w:t xml:space="preserve">No local presence; purely online marketing.</w:t>
            </w:r>
          </w:p>
        </w:tc>
      </w:tr>
    </w:tbl>
    <w:bookmarkEnd w:id="25"/>
    <w:bookmarkStart w:id="26" w:name="budget-allocation-melbourne-focus"/>
    <w:p>
      <w:pPr>
        <w:pStyle w:val="Heading2"/>
      </w:pPr>
      <w:r>
        <w:t xml:space="preserve">Budget Allocation (Melbourne Focus)</w:t>
      </w:r>
    </w:p>
    <w:p>
      <w:pPr>
        <w:pStyle w:val="FirstParagraph"/>
      </w:pPr>
      <w:r>
        <w:t xml:space="preserve">85% of the $350,000 launch budget is allocated to Melbourne-specific initiatives:</w:t>
      </w:r>
    </w:p>
    <w:p>
      <w:pPr>
        <w:numPr>
          <w:ilvl w:val="0"/>
          <w:numId w:val="1004"/>
        </w:numPr>
        <w:pStyle w:val="Compact"/>
      </w:pPr>
      <w:r>
        <w:t xml:space="preserve">45% - Digital Marketing &amp; Local SEO (targeting Melbourne IPs, geo-fenced ads near schools)</w:t>
      </w:r>
    </w:p>
    <w:p>
      <w:pPr>
        <w:numPr>
          <w:ilvl w:val="0"/>
          <w:numId w:val="1004"/>
        </w:numPr>
        <w:pStyle w:val="Compact"/>
      </w:pPr>
      <w:r>
        <w:t xml:space="preserve">25% - Community Events &amp; School Partnerships (workshops, ambassador programs)</w:t>
      </w:r>
    </w:p>
    <w:p>
      <w:pPr>
        <w:numPr>
          <w:ilvl w:val="0"/>
          <w:numId w:val="1004"/>
        </w:numPr>
        <w:pStyle w:val="Compact"/>
      </w:pPr>
      <w:r>
        <w:t xml:space="preserve">15% - Content Creation (Melbourne-focused blog, videos featuring local students/teachers)</w:t>
      </w:r>
    </w:p>
    <w:p>
      <w:pPr>
        <w:numPr>
          <w:ilvl w:val="0"/>
          <w:numId w:val="1004"/>
        </w:numPr>
        <w:pStyle w:val="Compact"/>
      </w:pPr>
      <w:r>
        <w:t xml:space="preserve">10% - Local PR &amp; Media Outreach (pitching to The Age, Herald Sun education sections)</w:t>
      </w:r>
    </w:p>
    <w:p>
      <w:pPr>
        <w:numPr>
          <w:ilvl w:val="0"/>
          <w:numId w:val="1004"/>
        </w:numPr>
        <w:pStyle w:val="Compact"/>
      </w:pPr>
      <w:r>
        <w:t xml:space="preserve">5% - Contingency for Melbourne-specific opportunities (e.g., VCE exam season campaigns)</w:t>
      </w:r>
    </w:p>
    <w:bookmarkEnd w:id="26"/>
    <w:bookmarkStart w:id="27" w:name="measurement-kpis"/>
    <w:p>
      <w:pPr>
        <w:pStyle w:val="Heading2"/>
      </w:pPr>
      <w:r>
        <w:t xml:space="preserve">Measurement &amp; KPIs</w:t>
      </w:r>
    </w:p>
    <w:p>
      <w:pPr>
        <w:pStyle w:val="FirstParagraph"/>
      </w:pPr>
      <w:r>
        <w:t xml:space="preserve">All success metrics are tracked within Australia Melbourne:</w:t>
      </w:r>
    </w:p>
    <w:p>
      <w:pPr>
        <w:numPr>
          <w:ilvl w:val="0"/>
          <w:numId w:val="1005"/>
        </w:numPr>
        <w:pStyle w:val="Compact"/>
      </w:pPr>
      <w:r>
        <w:t xml:space="preserve">**Lead Quality:** % of inquiries from Melbourne suburbs (target: 85%+).</w:t>
      </w:r>
    </w:p>
    <w:p>
      <w:pPr>
        <w:numPr>
          <w:ilvl w:val="0"/>
          <w:numId w:val="1005"/>
        </w:numPr>
        <w:pStyle w:val="Compact"/>
      </w:pPr>
      <w:r>
        <w:t xml:space="preserve">**School Adoption Rate:** Number of signed MOUs with Melbourne schools (target: 20+ in Year 1).</w:t>
      </w:r>
    </w:p>
    <w:p>
      <w:pPr>
        <w:numPr>
          <w:ilvl w:val="0"/>
          <w:numId w:val="1005"/>
        </w:numPr>
        <w:pStyle w:val="Compact"/>
      </w:pPr>
      <w:r>
        <w:t xml:space="preserve">**Student Retention:** 70% retention rate for Melbourne students after 3 months.</w:t>
      </w:r>
    </w:p>
    <w:p>
      <w:pPr>
        <w:numPr>
          <w:ilvl w:val="0"/>
          <w:numId w:val="1005"/>
        </w:numPr>
        <w:pStyle w:val="Compact"/>
      </w:pPr>
      <w:r>
        <w:t xml:space="preserve">**Brand Sentiment:** Positive mentions in Melbourne-focused online reviews (target: &gt;4.5/5 avg.).</w:t>
      </w:r>
    </w:p>
    <w:p>
      <w:pPr>
        <w:numPr>
          <w:ilvl w:val="0"/>
          <w:numId w:val="1005"/>
        </w:numPr>
        <w:pStyle w:val="Compact"/>
      </w:pPr>
      <w:r>
        <w:t xml:space="preserve">**Market Share:** Achieve #2 position in VCE tutoring category within Melbourne (based on local survey data).</w:t>
      </w:r>
    </w:p>
    <w:bookmarkEnd w:id="27"/>
    <w:bookmarkStart w:id="28" w:name="X102bb4d153a932a99a49fcdf6d9e682f21de807"/>
    <w:p>
      <w:pPr>
        <w:pStyle w:val="Heading2"/>
      </w:pPr>
      <w:r>
        <w:t xml:space="preserve">Conclusion: Professor – The Future of Learning in Australia Melbourne</w:t>
      </w:r>
    </w:p>
    <w:p>
      <w:pPr>
        <w:pStyle w:val="FirstParagraph"/>
      </w:pPr>
      <w:r>
        <w:t xml:space="preserve">The "Professor" Marketing Plan is not merely an operational guide; it is a commitment to revolutionizing education delivery across Australia Melbourne. By embedding our brand within the city’s educational heartbeat – understanding its schools, challenges, and cultural fabric – we transform Professor from a service into a Melbourne institution synonymous with academic success. This plan ensures every marketing dollar spent resonates locally, builds unshakeable trust with Victorian parents and educators, and delivers measurable outcomes that make "Professor" the undeniable choice for students striving for excellence in Australia Melbourne. The time to elevate education is now, and Professor is ready to lead Melbourne’s academic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Melbourne's Premier Educational Partner</dc:title>
  <dc:creator/>
  <cp:keywords/>
  <dcterms:created xsi:type="dcterms:W3CDTF">2026-07-21T02:45:07Z</dcterms:created>
  <dcterms:modified xsi:type="dcterms:W3CDTF">2026-07-21T02:45:07Z</dcterms:modified>
</cp:coreProperties>
</file>

<file path=docProps/custom.xml><?xml version="1.0" encoding="utf-8"?>
<Properties xmlns="http://schemas.openxmlformats.org/officeDocument/2006/custom-properties" xmlns:vt="http://schemas.openxmlformats.org/officeDocument/2006/docPropsVTypes"/>
</file>