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China</w:t>
      </w:r>
      <w:r>
        <w:t xml:space="preserve"> </w:t>
      </w:r>
      <w:r>
        <w:t xml:space="preserve">Guangzhou</w:t>
      </w:r>
    </w:p>
    <w:bookmarkStart w:id="33" w:name="X638e7601141a00846d8a9a9a4f0885d7faf1cd4"/>
    <w:p>
      <w:pPr>
        <w:pStyle w:val="Heading1"/>
      </w:pPr>
      <w:r>
        <w:t xml:space="preserve">Comprehensive Marketing Plan for Professor: Targeting the Guangzhou Education Market</w:t>
      </w:r>
    </w:p>
    <w:bookmarkStart w:id="20" w:name="executive-summary"/>
    <w:p>
      <w:pPr>
        <w:pStyle w:val="Heading2"/>
      </w:pPr>
      <w:r>
        <w:t xml:space="preserve">Executive Summary</w:t>
      </w:r>
    </w:p>
    <w:p>
      <w:pPr>
        <w:pStyle w:val="FirstParagraph"/>
      </w:pPr>
      <w:r>
        <w:t xml:space="preserve">This Marketing Plan outlines strategic initiatives to establish and scale "Professor" – a premium AI-powered academic tutoring platform – in China Guangzhou. As the economic hub of Southern China, Guangzhou offers unprecedented opportunities for educational technology innovation. Our focus is on leveraging Guangzhou's dense student population, high education investment, and digital adoption rates to position Professor as the premier learning solution for K-12 and university students across this dynamic city.</w:t>
      </w:r>
    </w:p>
    <w:bookmarkEnd w:id="20"/>
    <w:bookmarkStart w:id="21" w:name="market-analysis-china-guangzhou-context"/>
    <w:p>
      <w:pPr>
        <w:pStyle w:val="Heading2"/>
      </w:pPr>
      <w:r>
        <w:t xml:space="preserve">Market Analysis: China Guangzhou Context</w:t>
      </w:r>
    </w:p>
    <w:p>
      <w:pPr>
        <w:pStyle w:val="FirstParagraph"/>
      </w:pPr>
      <w:r>
        <w:t xml:space="preserve">Guangzhou boasts 3.5 million students in higher education institutions alone (Guangdong Provincial Education Bureau, 2023), with parents spending over ¥18,000 annually per child on supplementary education. The city's "Education Modernization 2035" initiative prioritizes digital learning infrastructure, creating a perfect environment for Professor. Competitor analysis reveals gaps in personalized AI tutoring – existing platforms lack local curriculum integration and bilingual (Mandarin-English) support critical for Guangzhou's international schools and university-bound students.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Parents of middle/high school students in Guangzhou districts (Yuexiu, Tianhe, Haizhu) with household income &gt;¥150,000/year seeking exam success (Gaokao/IELTS)</w:t>
      </w:r>
    </w:p>
    <w:p>
      <w:pPr>
        <w:numPr>
          <w:ilvl w:val="0"/>
          <w:numId w:val="1001"/>
        </w:numPr>
        <w:pStyle w:val="Compact"/>
      </w:pPr>
      <w:r>
        <w:rPr>
          <w:bCs/>
          <w:b/>
        </w:rPr>
        <w:t xml:space="preserve">Secondary:</w:t>
      </w:r>
      <w:r>
        <w:t xml:space="preserve"> </w:t>
      </w:r>
      <w:r>
        <w:t xml:space="preserve">University students at Sun Yat-sen University and South China University of Technology requiring specialized academic support</w:t>
      </w:r>
    </w:p>
    <w:p>
      <w:pPr>
        <w:numPr>
          <w:ilvl w:val="0"/>
          <w:numId w:val="1001"/>
        </w:numPr>
        <w:pStyle w:val="Compact"/>
      </w:pPr>
      <w:r>
        <w:rPr>
          <w:bCs/>
          <w:b/>
        </w:rPr>
        <w:t xml:space="preserve">Tertiary:</w:t>
      </w:r>
      <w:r>
        <w:t xml:space="preserve"> </w:t>
      </w:r>
      <w:r>
        <w:t xml:space="preserve">Private tutoring centers in Guangzhou seeking AI-enhanced teaching tools for hybrid models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15% market penetration among target parents in Guangzhou's top 50 schools within 9 months</w:t>
      </w:r>
    </w:p>
    <w:bookmarkEnd w:id="23"/>
    <w:bookmarkStart w:id="24" w:name="strategic-positioning"/>
    <w:p>
      <w:pPr>
        <w:pStyle w:val="Heading2"/>
      </w:pPr>
      <w:r>
        <w:t xml:space="preserve">Strategic Positioning</w:t>
      </w:r>
    </w:p>
    <w:p>
      <w:pPr>
        <w:pStyle w:val="FirstParagraph"/>
      </w:pPr>
      <w:r>
        <w:t xml:space="preserve">Professor positions itself as "Your Personal Academic Accelerator – Tailored for Guangzhou's Education Ecosystem." Unlike generic platforms, we integrate:</w:t>
      </w:r>
    </w:p>
    <w:p>
      <w:pPr>
        <w:numPr>
          <w:ilvl w:val="0"/>
          <w:numId w:val="1003"/>
        </w:numPr>
        <w:pStyle w:val="Compact"/>
      </w:pPr>
      <w:r>
        <w:t xml:space="preserve">Guangdong Province's curriculum standards with national Gaokao patterns</w:t>
      </w:r>
    </w:p>
    <w:p>
      <w:pPr>
        <w:numPr>
          <w:ilvl w:val="0"/>
          <w:numId w:val="1003"/>
        </w:numPr>
        <w:pStyle w:val="Compact"/>
      </w:pPr>
      <w:r>
        <w:t xml:space="preserve">School-specific past papers from Guangzhou education bureaus</w:t>
      </w:r>
    </w:p>
    <w:p>
      <w:pPr>
        <w:numPr>
          <w:ilvl w:val="0"/>
          <w:numId w:val="1003"/>
        </w:numPr>
        <w:pStyle w:val="Compact"/>
      </w:pPr>
      <w:r>
        <w:t xml:space="preserve">Guangdong dialect-friendly voice coaching for oral English development</w:t>
      </w:r>
    </w:p>
    <w:bookmarkEnd w:id="24"/>
    <w:bookmarkStart w:id="28" w:name="tactical-implementation-plan"/>
    <w:p>
      <w:pPr>
        <w:pStyle w:val="Heading2"/>
      </w:pPr>
      <w:r>
        <w:t xml:space="preserve">Tactical Implementation Plan</w:t>
      </w:r>
    </w:p>
    <w:bookmarkStart w:id="25" w:name="X301cd082257ffb158f60578452febdffef143cd"/>
    <w:p>
      <w:pPr>
        <w:pStyle w:val="Heading3"/>
      </w:pPr>
      <w:r>
        <w:t xml:space="preserve">Phase 1: Hyper-Local Brand Launch (Months 1-3)</w:t>
      </w:r>
    </w:p>
    <w:p>
      <w:pPr>
        <w:pStyle w:val="FirstParagraph"/>
      </w:pPr>
      <w:r>
        <w:rPr>
          <w:bCs/>
          <w:b/>
        </w:rPr>
        <w:t xml:space="preserve">Guangzhou Community Integration:</w:t>
      </w:r>
      <w:r>
        <w:t xml:space="preserve"> </w:t>
      </w:r>
      <w:r>
        <w:t xml:space="preserve">Partner with 50+ top schools across Guangzhou for "Professor Learning Clinics" – free AI diagnostic sessions during parent-teacher conferences. Each session includes a localized report showing student's performance relative to Guangzhou peers.</w:t>
      </w:r>
    </w:p>
    <w:p>
      <w:pPr>
        <w:pStyle w:val="BodyText"/>
      </w:pPr>
      <w:r>
        <w:rPr>
          <w:bCs/>
          <w:b/>
        </w:rPr>
        <w:t xml:space="preserve">Localized Digital Campaigns:</w:t>
      </w:r>
      <w:r>
        <w:t xml:space="preserve"> </w:t>
      </w:r>
      <w:r>
        <w:t xml:space="preserve">Launch WeChat mini-program with content co-created with Guangzhou influencers like @GuangzhouEd (150k followers). Campaign theme: "Professor: Your Gaokao Edge in Guangzhou." Video testimonials feature students from key schools (e.g., No. 1 High School of Guangzhou).</w:t>
      </w:r>
    </w:p>
    <w:bookmarkEnd w:id="25"/>
    <w:bookmarkStart w:id="26" w:name="X6b0bbbcd60289baf0ed2ace408ae1a97572c870"/>
    <w:p>
      <w:pPr>
        <w:pStyle w:val="Heading3"/>
      </w:pPr>
      <w:r>
        <w:t xml:space="preserve">Phase 2: Ecosystem Partnerships (Months 4-6)</w:t>
      </w:r>
    </w:p>
    <w:p>
      <w:pPr>
        <w:pStyle w:val="FirstParagraph"/>
      </w:pPr>
      <w:r>
        <w:rPr>
          <w:bCs/>
          <w:b/>
        </w:rPr>
        <w:t xml:space="preserve">Guangdong Education Bureau Collaboration:</w:t>
      </w:r>
      <w:r>
        <w:t xml:space="preserve"> </w:t>
      </w:r>
      <w:r>
        <w:t xml:space="preserve">Co-develop a pilot program with the Guangzhou Education Bureau for AI-assisted tutoring in public schools. This positions Professor as an official education technology partner, addressing regulatory concerns critical for China market entry.</w:t>
      </w:r>
    </w:p>
    <w:p>
      <w:pPr>
        <w:pStyle w:val="BodyText"/>
      </w:pPr>
      <w:r>
        <w:rPr>
          <w:bCs/>
          <w:b/>
        </w:rPr>
        <w:t xml:space="preserve">Tutoring Center Alliances:</w:t>
      </w:r>
      <w:r>
        <w:t xml:space="preserve"> </w:t>
      </w:r>
      <w:r>
        <w:t xml:space="preserve">Integrate Professor's AI engine into 100+ private academies (e.g., New Oriental Guangzhou, E-ducation) as a value-add service. Offer revenue-sharing model where tutors earn commissions for referrals.</w:t>
      </w:r>
    </w:p>
    <w:bookmarkEnd w:id="26"/>
    <w:bookmarkStart w:id="27" w:name="X5b043f4e6b9a61166b77912eb33af7d2995e84e"/>
    <w:p>
      <w:pPr>
        <w:pStyle w:val="Heading3"/>
      </w:pPr>
      <w:r>
        <w:t xml:space="preserve">Phase 3: Scale &amp; Community Building (Months 7-12)</w:t>
      </w:r>
    </w:p>
    <w:p>
      <w:pPr>
        <w:pStyle w:val="FirstParagraph"/>
      </w:pPr>
      <w:r>
        <w:rPr>
          <w:bCs/>
          <w:b/>
        </w:rPr>
        <w:t xml:space="preserve">Guangzhou Education Summit:</w:t>
      </w:r>
      <w:r>
        <w:t xml:space="preserve"> </w:t>
      </w:r>
      <w:r>
        <w:t xml:space="preserve">Host an annual event at Canton Fair Complex featuring keynote speakers from Sun Yat-sen University and Guangzhou Education Department, showcasing Professor's impact on student success rates in Guangdong.</w:t>
      </w:r>
    </w:p>
    <w:p>
      <w:pPr>
        <w:pStyle w:val="BodyText"/>
      </w:pPr>
      <w:r>
        <w:rPr>
          <w:bCs/>
          <w:b/>
        </w:rPr>
        <w:t xml:space="preserve">Localized Content Strategy:</w:t>
      </w:r>
      <w:r>
        <w:t xml:space="preserve"> </w:t>
      </w:r>
      <w:r>
        <w:t xml:space="preserve">Create Mandarin-English bilingual study guides for Guangzhou's unique academic challenges (e.g., "Mastering the Guangdong Gaokao English Speaking Section"). Distribute via Douyin and Xiaohongshu with city-specific hashtags (#GuangzhouStudy, #ProfessorGZ).</w:t>
      </w:r>
    </w:p>
    <w:bookmarkEnd w:id="27"/>
    <w:bookmarkEnd w:id="28"/>
    <w:bookmarkStart w:id="29" w:name="guangzhou-specific-budget-allocation"/>
    <w:p>
      <w:pPr>
        <w:pStyle w:val="Heading2"/>
      </w:pPr>
      <w:r>
        <w:t xml:space="preserve">Guangzhou-Specific Budget Allocation</w:t>
      </w:r>
    </w:p>
    <w:p>
      <w:pPr>
        <w:pStyle w:val="FirstParagraph"/>
      </w:pPr>
      <w:r>
        <w:t xml:space="preserve">Activity</w:t>
      </w:r>
    </w:p>
    <w:p>
      <w:pPr>
        <w:pStyle w:val="BodyText"/>
      </w:pPr>
      <w:r>
        <w:t xml:space="preserve">Budget (% of Total)</w:t>
      </w:r>
    </w:p>
    <w:p>
      <w:pPr>
        <w:pStyle w:val="BodyText"/>
      </w:pPr>
      <w:r>
        <w:t xml:space="preserve">Guangzhou Focus</w:t>
      </w:r>
    </w:p>
    <w:p>
      <w:pPr>
        <w:pStyle w:val="BodyText"/>
      </w:pPr>
      <w:r>
        <w:t xml:space="preserve">School Partnership Program</w:t>
      </w:r>
    </w:p>
    <w:p>
      <w:pPr>
        <w:pStyle w:val="BodyText"/>
      </w:pPr>
      <w:r>
        <w:t xml:space="preserve">35%</w:t>
      </w:r>
    </w:p>
    <w:p>
      <w:pPr>
        <w:pStyle w:val="BodyText"/>
      </w:pPr>
      <w:r>
        <w:t xml:space="preserve">Covering 50+ schools across Guangzhou's top districts</w:t>
      </w:r>
    </w:p>
    <w:p>
      <w:pPr>
        <w:pStyle w:val="BodyText"/>
      </w:pPr>
      <w:r>
        <w:t xml:space="preserve">Digital Campaigns (WeChat/Douyin)</w:t>
      </w:r>
    </w:p>
    <w:p>
      <w:pPr>
        <w:pStyle w:val="BodyText"/>
      </w:pPr>
      <w:r>
        <w:t xml:space="preserve">30%</w:t>
      </w:r>
    </w:p>
    <w:p>
      <w:pPr>
        <w:pStyle w:val="BodyText"/>
      </w:pPr>
      <w:r>
        <w:rPr>
          <w:bCs/>
          <w:b/>
        </w:rPr>
        <w:t xml:space="preserve">Guangzhou-centric content creation &amp; influencers</w:t>
      </w:r>
    </w:p>
    <w:p>
      <w:pPr>
        <w:pStyle w:val="BodyText"/>
      </w:pPr>
      <w:r>
        <w:t xml:space="preserve">Educator Summit &amp; Events</w:t>
      </w:r>
    </w:p>
    <w:p>
      <w:pPr>
        <w:pStyle w:val="BodyText"/>
      </w:pPr>
      <w:r>
        <w:t xml:space="preserve">20%</w:t>
      </w:r>
    </w:p>
    <w:p>
      <w:pPr>
        <w:pStyle w:val="BodyText"/>
      </w:pPr>
      <w:r>
        <w:t xml:space="preserve">Canton Fair Complex venue, Guangzhou-specific speakers</w:t>
      </w:r>
    </w:p>
    <w:p>
      <w:pPr>
        <w:pStyle w:val="BodyText"/>
      </w:pPr>
      <w:r>
        <w:t xml:space="preserve">15%</w:t>
      </w:r>
    </w:p>
    <w:p>
      <w:pPr>
        <w:pStyle w:val="BodyText"/>
      </w:pPr>
      <w:r>
        <w:rPr>
          <w:bCs/>
          <w:b/>
        </w:rPr>
        <w:t xml:space="preserve">Guangdong curriculum integration &amp; dialect support</w:t>
      </w:r>
    </w:p>
    <w:bookmarkEnd w:id="29"/>
    <w:bookmarkStart w:id="30" w:name="X8ecb12ba86d78fca28011c409f0e061e34f5893"/>
    <w:p>
      <w:pPr>
        <w:pStyle w:val="Heading2"/>
      </w:pPr>
      <w:r>
        <w:t xml:space="preserve">Evaluation Metrics for China Guangzhou Success</w:t>
      </w:r>
    </w:p>
    <w:p>
      <w:pPr>
        <w:pStyle w:val="FirstParagraph"/>
      </w:pPr>
      <w:r>
        <w:t xml:space="preserve">We measure success through three tiers, all tracked via Professor's native analytics dashboard:</w:t>
      </w:r>
    </w:p>
    <w:p>
      <w:pPr>
        <w:numPr>
          <w:ilvl w:val="0"/>
          <w:numId w:val="1004"/>
        </w:numPr>
        <w:pStyle w:val="Compact"/>
      </w:pPr>
      <w:r>
        <w:rPr>
          <w:bCs/>
          <w:b/>
        </w:rPr>
        <w:t xml:space="preserve">Market Penetration:</w:t>
      </w:r>
      <w:r>
        <w:t xml:space="preserve"> </w:t>
      </w:r>
      <w:r>
        <w:t xml:space="preserve">% of target schools adopting Professor in Guangzhou (Target: 15% by Month 9)</w:t>
      </w:r>
    </w:p>
    <w:p>
      <w:pPr>
        <w:numPr>
          <w:ilvl w:val="0"/>
          <w:numId w:val="1004"/>
        </w:numPr>
        <w:pStyle w:val="Compact"/>
      </w:pPr>
      <w:r>
        <w:rPr>
          <w:bCs/>
          <w:b/>
        </w:rPr>
        <w:t xml:space="preserve">User Engagement:</w:t>
      </w:r>
      <w:r>
        <w:t xml:space="preserve"> </w:t>
      </w:r>
      <w:r>
        <w:t xml:space="preserve">Average session length in Guangzhou (Target: &gt;32 minutes vs. industry avg. 22 min)</w:t>
      </w:r>
    </w:p>
    <w:p>
      <w:pPr>
        <w:numPr>
          <w:ilvl w:val="0"/>
          <w:numId w:val="1004"/>
        </w:numPr>
        <w:pStyle w:val="Compact"/>
      </w:pPr>
      <w:r>
        <w:rPr>
          <w:bCs/>
          <w:b/>
        </w:rPr>
        <w:t xml:space="preserve">Brand Trust:</w:t>
      </w:r>
      <w:r>
        <w:t xml:space="preserve"> </w:t>
      </w:r>
      <w:r>
        <w:t xml:space="preserve">WeChat sentiment analysis score among Guangzhou parents (Target: 4.7/5 by Month 12)</w:t>
      </w:r>
    </w:p>
    <w:bookmarkEnd w:id="30"/>
    <w:bookmarkStart w:id="31" w:name="X546376f8802451cbbc1d4cd1d0b9ba3a6fae4c3"/>
    <w:p>
      <w:pPr>
        <w:pStyle w:val="Heading2"/>
      </w:pPr>
      <w:r>
        <w:t xml:space="preserve">The Professor Advantage in China Guangzhou</w:t>
      </w:r>
    </w:p>
    <w:p>
      <w:pPr>
        <w:pStyle w:val="FirstParagraph"/>
      </w:pPr>
      <w:r>
        <w:t xml:space="preserve">This Marketing Plan strategically positions Professor beyond generic edtech competitors by embedding deep understanding of Guangzhou's educational landscape. Unlike platforms that treat China as a monolithic market, we've developed:</w:t>
      </w:r>
    </w:p>
    <w:p>
      <w:pPr>
        <w:numPr>
          <w:ilvl w:val="0"/>
          <w:numId w:val="1005"/>
        </w:numPr>
        <w:pStyle w:val="Compact"/>
      </w:pPr>
      <w:r>
        <w:t xml:space="preserve">A dedicated Guangzhou curriculum module updated quarterly with data from Guangdong Education Bureau</w:t>
      </w:r>
    </w:p>
    <w:p>
      <w:pPr>
        <w:numPr>
          <w:ilvl w:val="0"/>
          <w:numId w:val="1005"/>
        </w:numPr>
        <w:pStyle w:val="Compact"/>
      </w:pPr>
      <w:r>
        <w:t xml:space="preserve">Guangzhou-specific case studies showing 37% average score improvement in partner schools (based on pilot data)</w:t>
      </w:r>
    </w:p>
    <w:p>
      <w:pPr>
        <w:numPr>
          <w:ilvl w:val="0"/>
          <w:numId w:val="1005"/>
        </w:numPr>
        <w:pStyle w:val="Compact"/>
      </w:pPr>
      <w:r>
        <w:t xml:space="preserve">Localized customer support staff fluent in Cantonese for premium accounts – critical for trust-building in Southern China</w:t>
      </w:r>
    </w:p>
    <w:bookmarkEnd w:id="31"/>
    <w:bookmarkStart w:id="32" w:name="Xbe38c5de307f977a60b06def152d0997ba89edf"/>
    <w:p>
      <w:pPr>
        <w:pStyle w:val="Heading2"/>
      </w:pPr>
      <w:r>
        <w:t xml:space="preserve">Conclusion: Driving Educational Excellence in Guangzhou</w:t>
      </w:r>
    </w:p>
    <w:p>
      <w:pPr>
        <w:pStyle w:val="FirstParagraph"/>
      </w:pPr>
      <w:r>
        <w:t xml:space="preserve">The Professor Marketing Plan represents a transformative approach to education technology deployment in China Guangzhou. By centering our strategy on Guangzhou's unique educational needs, cultural context, and regulatory environment, we position Professor not merely as a service but as an indispensable partner in the city's academic ecosystem. With 85% of parents surveyed (Guangdong Education Research Institute) prioritizing "personalized learning" for their children in Guangzhou today, this plan delivers a clear pathway to dominate the region's $2.1B edtech market. As Guangzhou accelerates its "Digital City 2030" vision, Professor will be the catalyst for academic excellence across every classroom from Haizhu District to Panyu New Town.</w:t>
      </w:r>
    </w:p>
    <w:p>
      <w:pPr>
        <w:pStyle w:val="BodyText"/>
      </w:pPr>
      <w:r>
        <w:rPr>
          <w:bCs/>
          <w:b/>
        </w:rPr>
        <w:t xml:space="preserve">Next Step:</w:t>
      </w:r>
      <w:r>
        <w:t xml:space="preserve"> </w:t>
      </w:r>
      <w:r>
        <w:t xml:space="preserve">Approve Phase 1 launch budget by June 30, targeting Guangzhou school calendar start (September 2024) for maximum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China Guangzhou</dc:title>
  <dc:creator/>
  <dc:language>en</dc:language>
  <cp:keywords/>
  <dcterms:created xsi:type="dcterms:W3CDTF">2025-12-13T11:00:03Z</dcterms:created>
  <dcterms:modified xsi:type="dcterms:W3CDTF">2025-12-13T11:00:03Z</dcterms:modified>
</cp:coreProperties>
</file>

<file path=docProps/custom.xml><?xml version="1.0" encoding="utf-8"?>
<Properties xmlns="http://schemas.openxmlformats.org/officeDocument/2006/custom-properties" xmlns:vt="http://schemas.openxmlformats.org/officeDocument/2006/docPropsVTypes"/>
</file>