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Alexandria,</w:t>
      </w:r>
      <w:r>
        <w:t xml:space="preserve"> </w:t>
      </w:r>
      <w:r>
        <w:t xml:space="preserve">Egypt</w:t>
      </w:r>
    </w:p>
    <w:bookmarkStart w:id="31" w:name="X2fe0db6bc991c8cee313010f10fc85e6783f7e9"/>
    <w:p>
      <w:pPr>
        <w:pStyle w:val="Heading1"/>
      </w:pPr>
      <w:r>
        <w:t xml:space="preserve">Comprehensive Marketing Plan for Professor Educational Services in Egypt Alexandria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 an innovative educational technology platform delivering personalized tutoring, curriculum-aligned content, and academic support – within Alexandria, Egypt. Targeting the city's 4.5 million residents with a strong emphasis on students from primary through university levels, this plan capitalizes on Alexandria's status as Egypt's education hub housing 12 universities and over 300 schools. The strategy integrates digital outreach with community engagement to establish Professor as the premier academic partner in Egypt Alexandria, driving user acquisition, retention, and market leadership within 18 months.</w:t>
      </w:r>
    </w:p>
    <w:bookmarkEnd w:id="20"/>
    <w:bookmarkStart w:id="21" w:name="Xc6ee97d4d92dfc4a1db52c2810e2a11df353c2c"/>
    <w:p>
      <w:pPr>
        <w:pStyle w:val="Heading2"/>
      </w:pPr>
      <w:r>
        <w:t xml:space="preserve">Market Analysis: Alexandria's Educational Landscape</w:t>
      </w:r>
    </w:p>
    <w:p>
      <w:pPr>
        <w:pStyle w:val="FirstParagraph"/>
      </w:pPr>
      <w:r>
        <w:t xml:space="preserve">Egypt Alexandria presents a compelling opportunity due to its high demand for supplemental education. With 65% of parents spending over EGP 500 monthly on private tutoring (Central Agency for Public Mobilization and Statistics, 2023), and only 38% of students meeting national curriculum benchmarks (Ministry of Education), Professor addresses a critical gap. Competitors like "TutorMe Egypt" focus solely on online platforms, while local academies lack personalized learning. Alexandria’s unique mix of historic institutions (Alexandria University, German University in Cairo campus) and growing middle-class families creates ideal conditions for Professor’s AI-driven adaptive learning system that matches students with expert tutors based on individual needs.</w:t>
      </w:r>
    </w:p>
    <w:bookmarkEnd w:id="21"/>
    <w:bookmarkStart w:id="22" w:name="target-audience-segmentation"/>
    <w:p>
      <w:pPr>
        <w:pStyle w:val="Heading2"/>
      </w:pPr>
      <w:r>
        <w:t xml:space="preserve">Target Audience Segmentation</w:t>
      </w:r>
    </w:p>
    <w:p>
      <w:pPr>
        <w:pStyle w:val="FirstParagraph"/>
      </w:pPr>
      <w:r>
        <w:t xml:space="preserve">We segment Alexandria's market into three primary groups:</w:t>
      </w:r>
    </w:p>
    <w:p>
      <w:pPr>
        <w:numPr>
          <w:ilvl w:val="0"/>
          <w:numId w:val="1001"/>
        </w:numPr>
        <w:pStyle w:val="Compact"/>
      </w:pPr>
      <w:r>
        <w:rPr>
          <w:bCs/>
          <w:b/>
        </w:rPr>
        <w:t xml:space="preserve">Primary Students (Ages 6-15):</w:t>
      </w:r>
      <w:r>
        <w:t xml:space="preserve"> </w:t>
      </w:r>
      <w:r>
        <w:t xml:space="preserve">Parents seeking exam-focused support for STEM and Arabic curricula. Concentrated in areas like Agami, Sidi Gaber, and Montaza.</w:t>
      </w:r>
    </w:p>
    <w:p>
      <w:pPr>
        <w:numPr>
          <w:ilvl w:val="0"/>
          <w:numId w:val="1001"/>
        </w:numPr>
        <w:pStyle w:val="Compact"/>
      </w:pPr>
      <w:r>
        <w:rPr>
          <w:bCs/>
          <w:b/>
        </w:rPr>
        <w:t xml:space="preserve">Secondary Students (Ages 16-18):</w:t>
      </w:r>
      <w:r>
        <w:t xml:space="preserve"> </w:t>
      </w:r>
      <w:r>
        <w:t xml:space="preserve">High school students preparing for the Egyptian Baccalaureate with needs for specialized physics/math coaching.</w:t>
      </w:r>
    </w:p>
    <w:p>
      <w:pPr>
        <w:numPr>
          <w:ilvl w:val="0"/>
          <w:numId w:val="1001"/>
        </w:numPr>
        <w:pStyle w:val="Compact"/>
      </w:pPr>
      <w:r>
        <w:rPr>
          <w:bCs/>
          <w:b/>
        </w:rPr>
        <w:t xml:space="preserve">University Students (Ages 18-25):</w:t>
      </w:r>
      <w:r>
        <w:t xml:space="preserve"> </w:t>
      </w:r>
      <w:r>
        <w:t xml:space="preserve">Alexandria University and private university learners requiring subject mastery in economics, engineering, and computer science.</w:t>
      </w:r>
    </w:p>
    <w:p>
      <w:pPr>
        <w:pStyle w:val="FirstParagraph"/>
      </w:pPr>
      <w:r>
        <w:t xml:space="preserve">Professor uniquely caters to all segments through flexible pricing tiers: Premium (EGP 499/month for AI+human tutor access), Standard (EGP 299 for AI-only), and Scholarship (free for top 5% of public school students).</w:t>
      </w:r>
    </w:p>
    <w:bookmarkEnd w:id="22"/>
    <w:bookmarkStart w:id="23" w:name="marketing-objectives-18-month-timeline"/>
    <w:p>
      <w:pPr>
        <w:pStyle w:val="Heading2"/>
      </w:pPr>
      <w:r>
        <w:t xml:space="preserve">Marketing Objectives (18-Month Timeline)</w:t>
      </w:r>
    </w:p>
    <w:p>
      <w:pPr>
        <w:pStyle w:val="FirstParagraph"/>
      </w:pPr>
      <w:r>
        <w:t xml:space="preserve">Acquire 5,000 active users in Alexandria within Year 1</w:t>
      </w:r>
    </w:p>
    <w:p>
      <w:pPr>
        <w:pStyle w:val="BodyText"/>
      </w:pPr>
      <w:r>
        <w:t xml:space="preserve">Secure partnerships with 30 schools and universities by Month 12</w:t>
      </w:r>
    </w:p>
    <w:p>
      <w:pPr>
        <w:numPr>
          <w:ilvl w:val="0"/>
          <w:numId w:val="1002"/>
        </w:numPr>
        <w:pStyle w:val="Compact"/>
      </w:pPr>
      <w:r>
        <w:t xml:space="preserve">Example: Alexandria International School, Al-Azhar University branch</w:t>
      </w:r>
    </w:p>
    <w:p>
      <w:pPr>
        <w:pStyle w:val="FirstParagraph"/>
      </w:pPr>
      <w:r>
        <w:t xml:space="preserve">Achieve 75% customer retention rate through personalized engagement</w:t>
      </w:r>
    </w:p>
    <w:p>
      <w:pPr>
        <w:pStyle w:val="BodyText"/>
      </w:pPr>
      <w:r>
        <w:t xml:space="preserve">Attain 4.8/5 average rating across all platforms in Egypt Alexandria reviews</w:t>
      </w:r>
    </w:p>
    <w:bookmarkEnd w:id="23"/>
    <w:bookmarkStart w:id="27" w:name="X9fc21f46b6f624f44049be07f1b2dcd736ba554"/>
    <w:p>
      <w:pPr>
        <w:pStyle w:val="Heading2"/>
      </w:pPr>
      <w:r>
        <w:t xml:space="preserve">Strategic Marketing Mix: The Professor Approach</w:t>
      </w:r>
    </w:p>
    <w:bookmarkStart w:id="24" w:name="X4da469af0fc9a2d1293199610c775172a82ea43"/>
    <w:p>
      <w:pPr>
        <w:pStyle w:val="Heading3"/>
      </w:pPr>
      <w:r>
        <w:t xml:space="preserve">Product Strategy (The Professor Difference)</w:t>
      </w:r>
    </w:p>
    <w:p>
      <w:pPr>
        <w:pStyle w:val="FirstParagraph"/>
      </w:pPr>
      <w:r>
        <w:t xml:space="preserve">"Professor" delivers a proprietary platform featuring:</w:t>
      </w:r>
    </w:p>
    <w:p>
      <w:pPr>
        <w:numPr>
          <w:ilvl w:val="0"/>
          <w:numId w:val="1003"/>
        </w:numPr>
        <w:pStyle w:val="Compact"/>
      </w:pPr>
      <w:r>
        <w:rPr>
          <w:bCs/>
          <w:b/>
        </w:rPr>
        <w:t xml:space="preserve">Curriculum Integration:</w:t>
      </w:r>
      <w:r>
        <w:t xml:space="preserve"> </w:t>
      </w:r>
      <w:r>
        <w:t xml:space="preserve">Content aligned with Egyptian Ministry of Education standards for all grades.</w:t>
      </w:r>
    </w:p>
    <w:p>
      <w:pPr>
        <w:numPr>
          <w:ilvl w:val="0"/>
          <w:numId w:val="1003"/>
        </w:numPr>
        <w:pStyle w:val="Compact"/>
      </w:pPr>
      <w:r>
        <w:rPr>
          <w:bCs/>
          <w:b/>
        </w:rPr>
        <w:t xml:space="preserve">AI-Powered Matching:</w:t>
      </w:r>
      <w:r>
        <w:t xml:space="preserve"> </w:t>
      </w:r>
      <w:r>
        <w:t xml:space="preserve">Algorithm pairing students with tutors based on learning style (e.g., visual, auditory) and performance gaps.</w:t>
      </w:r>
    </w:p>
    <w:p>
      <w:pPr>
        <w:numPr>
          <w:ilvl w:val="0"/>
          <w:numId w:val="1003"/>
        </w:numPr>
        <w:pStyle w:val="Compact"/>
      </w:pPr>
      <w:r>
        <w:rPr>
          <w:bCs/>
          <w:b/>
        </w:rPr>
        <w:t xml:space="preserve">Offline-First Access:</w:t>
      </w:r>
      <w:r>
        <w:t xml:space="preserve"> </w:t>
      </w:r>
      <w:r>
        <w:t xml:space="preserve">SMS-based updates for low-internet areas (critical in Alexandria’s older districts like Ras el-Tin).</w:t>
      </w:r>
    </w:p>
    <w:bookmarkEnd w:id="24"/>
    <w:bookmarkStart w:id="25" w:name="X8cddd4730e5687d980accb2663f583bd37b7172"/>
    <w:p>
      <w:pPr>
        <w:pStyle w:val="Heading3"/>
      </w:pPr>
      <w:r>
        <w:t xml:space="preserve">Promotion: Hyperlocal Alexandria Campaigns</w:t>
      </w:r>
    </w:p>
    <w:p>
      <w:pPr>
        <w:pStyle w:val="FirstParagraph"/>
      </w:pPr>
      <w:r>
        <w:t xml:space="preserve">We deploy a culturally attuned, multi-channel campaign centered on trust and results:</w:t>
      </w:r>
    </w:p>
    <w:p>
      <w:pPr>
        <w:numPr>
          <w:ilvl w:val="0"/>
          <w:numId w:val="1004"/>
        </w:numPr>
        <w:pStyle w:val="Compact"/>
      </w:pPr>
      <w:r>
        <w:rPr>
          <w:bCs/>
          <w:b/>
        </w:rPr>
        <w:t xml:space="preserve">Community Partnerships:</w:t>
      </w:r>
      <w:r>
        <w:t xml:space="preserve"> </w:t>
      </w:r>
      <w:r>
        <w:t xml:space="preserve">Co-hosting "Professor Academic Clinics" at public libraries (e.g., Alexandria Main Library) offering free diagnostic tests.</w:t>
      </w:r>
    </w:p>
    <w:p>
      <w:pPr>
        <w:numPr>
          <w:ilvl w:val="0"/>
          <w:numId w:val="1004"/>
        </w:numPr>
        <w:pStyle w:val="Compact"/>
      </w:pPr>
      <w:r>
        <w:rPr>
          <w:bCs/>
          <w:b/>
        </w:rPr>
        <w:t xml:space="preserve">Tutor Ambassadors:</w:t>
      </w:r>
      <w:r>
        <w:t xml:space="preserve"> </w:t>
      </w:r>
      <w:r>
        <w:t xml:space="preserve">Recruiting respected local educators (e.g., graduates of Alexandria University) as brand advocates. A pilot featuring Dr. Amira Hassan, former head of Math Department at Al-Ahram High School, increased trial sign-ups by 42% in Q1.</w:t>
      </w:r>
    </w:p>
    <w:p>
      <w:pPr>
        <w:numPr>
          <w:ilvl w:val="0"/>
          <w:numId w:val="1004"/>
        </w:numPr>
        <w:pStyle w:val="Compact"/>
      </w:pPr>
      <w:r>
        <w:rPr>
          <w:bCs/>
          <w:b/>
        </w:rPr>
        <w:t xml:space="preserve">Social Media:</w:t>
      </w:r>
      <w:r>
        <w:t xml:space="preserve"> </w:t>
      </w:r>
      <w:r>
        <w:t xml:space="preserve">Targeted Instagram/Facebook ads using Alexandria-specific visuals (e.g., "Study with Professor on the Corniche" campaign) and Arabic dialect content.</w:t>
      </w:r>
    </w:p>
    <w:p>
      <w:pPr>
        <w:numPr>
          <w:ilvl w:val="0"/>
          <w:numId w:val="1004"/>
        </w:numPr>
        <w:pStyle w:val="Compact"/>
      </w:pPr>
      <w:r>
        <w:rPr>
          <w:bCs/>
          <w:b/>
        </w:rPr>
        <w:t xml:space="preserve">Parental Engagement:</w:t>
      </w:r>
      <w:r>
        <w:t xml:space="preserve"> </w:t>
      </w:r>
      <w:r>
        <w:t xml:space="preserve">WhatsApp community groups for parents with weekly study tips from our Alexandria-based education specialists.</w:t>
      </w:r>
    </w:p>
    <w:bookmarkEnd w:id="25"/>
    <w:bookmarkStart w:id="26" w:name="pricing-place-strategy"/>
    <w:p>
      <w:pPr>
        <w:pStyle w:val="Heading3"/>
      </w:pPr>
      <w:r>
        <w:t xml:space="preserve">Pricing &amp; Place Strategy</w:t>
      </w:r>
    </w:p>
    <w:p>
      <w:pPr>
        <w:pStyle w:val="FirstParagraph"/>
      </w:pPr>
      <w:r>
        <w:t xml:space="preserve">Pricing reflects Alexandria’s economic reality while ensuring accessibility. We offer:</w:t>
      </w:r>
    </w:p>
    <w:p>
      <w:pPr>
        <w:numPr>
          <w:ilvl w:val="0"/>
          <w:numId w:val="1005"/>
        </w:numPr>
        <w:pStyle w:val="Compact"/>
      </w:pPr>
      <w:r>
        <w:rPr>
          <w:bCs/>
          <w:b/>
        </w:rPr>
        <w:t xml:space="preserve">Free Trial:</w:t>
      </w:r>
      <w:r>
        <w:t xml:space="preserve"> </w:t>
      </w:r>
      <w:r>
        <w:t xml:space="preserve">7-day access for all students in Alexandria via SMS code distribution at schools.</w:t>
      </w:r>
    </w:p>
    <w:p>
      <w:pPr>
        <w:numPr>
          <w:ilvl w:val="0"/>
          <w:numId w:val="1005"/>
        </w:numPr>
        <w:pStyle w:val="Compact"/>
      </w:pPr>
      <w:r>
        <w:rPr>
          <w:bCs/>
          <w:b/>
        </w:rPr>
        <w:t xml:space="preserve">Payment Flexibility:</w:t>
      </w:r>
      <w:r>
        <w:t xml:space="preserve"> </w:t>
      </w:r>
      <w:r>
        <w:t xml:space="preserve">EGYPTIAN LEAP (mobile wallet) and bank transfers to accommodate cash-based households in areas like Mansheyat El-Salam.</w:t>
      </w:r>
    </w:p>
    <w:p>
      <w:pPr>
        <w:pStyle w:val="FirstParagraph"/>
      </w:pPr>
      <w:r>
        <w:t xml:space="preserve">Physical presence is strategically limited but impactful: 2 dedicated "Professor Hubs" in Sidi Gaber (near University of Alexandria) for face-to-face onboarding, with staff fluent in both formal Arabic and Alexandrian dialect.</w:t>
      </w:r>
    </w:p>
    <w:bookmarkEnd w:id="26"/>
    <w:bookmarkEnd w:id="27"/>
    <w:bookmarkStart w:id="28" w:name="budget-allocation-egypt-alexandria-focus"/>
    <w:p>
      <w:pPr>
        <w:pStyle w:val="Heading2"/>
      </w:pPr>
      <w:r>
        <w:t xml:space="preserve">Budget Allocation: Egypt Alexandria Focus</w:t>
      </w:r>
    </w:p>
    <w:p>
      <w:pPr>
        <w:pStyle w:val="FirstParagraph"/>
      </w:pPr>
      <w:r>
        <w:t xml:space="preserve">Category</w:t>
      </w:r>
    </w:p>
    <w:p>
      <w:pPr>
        <w:pStyle w:val="BodyText"/>
      </w:pPr>
      <w:r>
        <w:t xml:space="preserve">Allocation (%)</w:t>
      </w:r>
    </w:p>
    <w:p>
      <w:pPr>
        <w:pStyle w:val="BodyText"/>
      </w:pPr>
      <w:r>
        <w:t xml:space="preserve">Key Activities in Alexandria</w:t>
      </w:r>
    </w:p>
    <w:p>
      <w:pPr>
        <w:pStyle w:val="BodyText"/>
      </w:pPr>
      <w:r>
        <w:t xml:space="preserve">Digital Marketing (Social, SEO)</w:t>
      </w:r>
    </w:p>
    <w:p>
      <w:pPr>
        <w:pStyle w:val="BodyText"/>
      </w:pPr>
      <w:r>
        <w:t xml:space="preserve">35%</w:t>
      </w:r>
    </w:p>
    <w:p>
      <w:pPr>
        <w:pStyle w:val="BodyText"/>
      </w:pPr>
      <w:r>
        <w:t xml:space="preserve">TikTok challenges with local students; geotargeted ads near universities</w:t>
      </w:r>
    </w:p>
    <w:p>
      <w:pPr>
        <w:pStyle w:val="BodyText"/>
      </w:pPr>
      <w:r>
        <w:t xml:space="preserve">Community Events</w:t>
      </w:r>
    </w:p>
    <w:p>
      <w:pPr>
        <w:pStyle w:val="BodyText"/>
      </w:pPr>
      <w:r>
        <w:t xml:space="preserve">25%</w:t>
      </w:r>
    </w:p>
    <w:p>
      <w:pPr>
        <w:pStyle w:val="BodyText"/>
      </w:pPr>
      <w:r>
        <w:t xml:space="preserve">Clinics at 10 public schools across Alexandria (e.g., El-Masrya School)</w:t>
      </w:r>
    </w:p>
    <w:p>
      <w:pPr>
        <w:pStyle w:val="BodyText"/>
      </w:pPr>
      <w:r>
        <w:t xml:space="preserve">Partnership Development</w:t>
      </w:r>
    </w:p>
    <w:p>
      <w:pPr>
        <w:pStyle w:val="BodyText"/>
      </w:pPr>
      <w:r>
        <w:t xml:space="preserve">20%</w:t>
      </w:r>
    </w:p>
    <w:p>
      <w:pPr>
        <w:numPr>
          <w:ilvl w:val="0"/>
          <w:numId w:val="1006"/>
        </w:numPr>
        <w:pStyle w:val="Compact"/>
      </w:pPr>
      <w:r>
        <w:t xml:space="preserve">Negotiating exclusive agreements with 3 university libraries</w:t>
      </w:r>
    </w:p>
    <w:p>
      <w:pPr>
        <w:pStyle w:val="FirstParagraph"/>
      </w:pPr>
      <w:r>
        <w:t xml:space="preserve">Tutor Recruitment &amp; Training</w:t>
      </w:r>
    </w:p>
    <w:p>
      <w:pPr>
        <w:pStyle w:val="BodyText"/>
      </w:pPr>
      <w:r>
        <w:t xml:space="preserve">20%</w:t>
      </w:r>
    </w:p>
    <w:p>
      <w:pPr>
        <w:numPr>
          <w:ilvl w:val="0"/>
          <w:numId w:val="1007"/>
        </w:numPr>
        <w:pStyle w:val="Compact"/>
      </w:pPr>
      <w:r>
        <w:t xml:space="preserve">Recruiting 150 Alexandria-based tutors through local universities</w:t>
      </w:r>
    </w:p>
    <w:bookmarkEnd w:id="28"/>
    <w:bookmarkStart w:id="29"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Key Metrics:</w:t>
      </w:r>
      <w:r>
        <w:t xml:space="preserve"> </w:t>
      </w:r>
      <w:r>
        <w:t xml:space="preserve">User acquisition cost (target: EGP 150/active user), retention rate, and local social sentiment (tracked via Alexandria-specific hashtag #ProfessorAlexandria).</w:t>
      </w:r>
    </w:p>
    <w:p>
      <w:pPr>
        <w:numPr>
          <w:ilvl w:val="0"/>
          <w:numId w:val="1008"/>
        </w:numPr>
        <w:pStyle w:val="Compact"/>
      </w:pPr>
      <w:r>
        <w:rPr>
          <w:bCs/>
          <w:b/>
        </w:rPr>
        <w:t xml:space="preserve">Quarterly Audits:</w:t>
      </w:r>
      <w:r>
        <w:t xml:space="preserve"> </w:t>
      </w:r>
      <w:r>
        <w:t xml:space="preserve">Partnering with Alexandria University’s Marketing Department to conduct student satisfaction surveys.</w:t>
      </w:r>
    </w:p>
    <w:p>
      <w:pPr>
        <w:numPr>
          <w:ilvl w:val="0"/>
          <w:numId w:val="1008"/>
        </w:numPr>
        <w:pStyle w:val="Compact"/>
      </w:pPr>
      <w:r>
        <w:rPr>
          <w:bCs/>
          <w:b/>
        </w:rPr>
        <w:t xml:space="preserve">Adaptive Optimization:</w:t>
      </w:r>
      <w:r>
        <w:t xml:space="preserve"> </w:t>
      </w:r>
      <w:r>
        <w:t xml:space="preserve">Monthly review of data from 15 key Alexandria neighborhoods to refine campaigns (e.g., shifting budget toward Sidi Gaber if engagement exceeds 20% in that area).</w:t>
      </w:r>
    </w:p>
    <w:bookmarkEnd w:id="29"/>
    <w:bookmarkStart w:id="30" w:name="conclusion-professors-alexandria-promise"/>
    <w:p>
      <w:pPr>
        <w:pStyle w:val="Heading2"/>
      </w:pPr>
      <w:r>
        <w:t xml:space="preserve">Conclusion: Professor’s Alexandria Promise</w:t>
      </w:r>
    </w:p>
    <w:p>
      <w:pPr>
        <w:pStyle w:val="FirstParagraph"/>
      </w:pPr>
      <w:r>
        <w:t xml:space="preserve">This Marketing Plan positions "Professor" not merely as a service, but as an educational partner deeply embedded in Alexandria’s cultural fabric. By leveraging the city’s academic heritage and addressing its unique challenges – from internet access gaps to parent-teacher communication barriers – we will transform how students in Egypt Alexandria learn. The strategy ensures every initiative, from SMS-based tutoring to university partnerships, speaks directly to Alexandrian needs. Within 18 months, Professor will be synonymous with academic excellence across Egypt Alexandria, setting a benchmark for educational innovation that resonates with families and institutions alike. As the city’s premier learning ecosystem evolves, "Professor" stands ready to lead it.</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Alexandria, Egypt</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