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Jakarta,</w:t>
      </w:r>
      <w:r>
        <w:t xml:space="preserve"> </w:t>
      </w:r>
      <w:r>
        <w:t xml:space="preserve">Indonesia</w:t>
      </w:r>
    </w:p>
    <w:bookmarkStart w:id="32" w:name="X7e6d45c494335bbbdc0dd8ea54411fb260131af"/>
    <w:p>
      <w:pPr>
        <w:pStyle w:val="Heading1"/>
      </w:pPr>
      <w:r>
        <w:t xml:space="preserve">Marketing Plan: Professor - Revolutionizing Education in Jakarta, Indonesia</w:t>
      </w:r>
    </w:p>
    <w:bookmarkStart w:id="20" w:name="executive-summary"/>
    <w:p>
      <w:pPr>
        <w:pStyle w:val="Heading2"/>
      </w:pPr>
      <w:r>
        <w:t xml:space="preserve">Executive Summary</w:t>
      </w:r>
    </w:p>
    <w:p>
      <w:pPr>
        <w:pStyle w:val="FirstParagraph"/>
      </w:pPr>
      <w:r>
        <w:t xml:space="preserve">The Indonesian education landscape in Jakarta presents a high-demand opportunity for innovative academic solutions. With over 10 million students navigating competitive exams like SNMPTN and UN, traditional tutoring models face challenges of accessibility, affordability, and quality control. Professor—a premium AI-powered personalized learning platform—aims to become Jakarta's most trusted academic partner by delivering tailored education experiences that resonate with local cultural values and educational pressures. This plan details our strategy to capture 15% market share in Jakarta's urban academic sector within 24 months through hyper-localized engagement, culturally attuned content, and community-driven growth.</w:t>
      </w:r>
    </w:p>
    <w:bookmarkEnd w:id="20"/>
    <w:bookmarkStart w:id="21" w:name="X97914cc09bae337a50d9faf9ac95350cc760733"/>
    <w:p>
      <w:pPr>
        <w:pStyle w:val="Heading2"/>
      </w:pPr>
      <w:r>
        <w:t xml:space="preserve">Market Analysis: Jakarta-Specific Insights</w:t>
      </w:r>
    </w:p>
    <w:p>
      <w:pPr>
        <w:pStyle w:val="FirstParagraph"/>
      </w:pPr>
      <w:r>
        <w:t xml:space="preserve">Jakarta’s education ecosystem is defined by intense competition for elite universities and a parental spending culture where families invest up to 30% of income in supplementary education. Current pain points include:</w:t>
      </w:r>
    </w:p>
    <w:p>
      <w:pPr>
        <w:numPr>
          <w:ilvl w:val="0"/>
          <w:numId w:val="1001"/>
        </w:numPr>
        <w:pStyle w:val="Compact"/>
      </w:pPr>
      <w:r>
        <w:rPr>
          <w:bCs/>
          <w:b/>
        </w:rPr>
        <w:t xml:space="preserve">Fragmented Learning:</w:t>
      </w:r>
      <w:r>
        <w:t xml:space="preserve"> </w:t>
      </w:r>
      <w:r>
        <w:t xml:space="preserve">Over-reliance on physical tutors creates inconsistency; 78% of Jakarta parents report inconsistent teaching quality (Jakarta Education Survey, 2023).</w:t>
      </w:r>
    </w:p>
    <w:p>
      <w:pPr>
        <w:numPr>
          <w:ilvl w:val="0"/>
          <w:numId w:val="1001"/>
        </w:numPr>
        <w:pStyle w:val="Compact"/>
      </w:pPr>
      <w:r>
        <w:rPr>
          <w:bCs/>
          <w:b/>
        </w:rPr>
        <w:t xml:space="preserve">Digital Divide:</w:t>
      </w:r>
      <w:r>
        <w:t xml:space="preserve"> </w:t>
      </w:r>
      <w:r>
        <w:t xml:space="preserve">While smartphone penetration exceeds 90%, only 45% of students use educational apps due to content not reflecting Bahasa Indonesia contexts or local exam patterns.</w:t>
      </w:r>
    </w:p>
    <w:p>
      <w:pPr>
        <w:numPr>
          <w:ilvl w:val="0"/>
          <w:numId w:val="1001"/>
        </w:numPr>
        <w:pStyle w:val="Compact"/>
      </w:pPr>
      <w:r>
        <w:rPr>
          <w:bCs/>
          <w:b/>
        </w:rPr>
        <w:t xml:space="preserve">Cultural Misalignment:</w:t>
      </w:r>
      <w:r>
        <w:t xml:space="preserve"> </w:t>
      </w:r>
      <w:r>
        <w:t xml:space="preserve">Existing platforms fail to integrate respect for educators ("Bapak/Ibu Guru") and communal learning values central to Indonesian pedagogy.</w:t>
      </w:r>
    </w:p>
    <w:p>
      <w:pPr>
        <w:pStyle w:val="FirstParagraph"/>
      </w:pPr>
      <w:r>
        <w:t xml:space="preserve">Professor addresses these by combining AI adaptability with culturally embedded teaching methodologies, positioning itself not as a "tool" but as an extension of Jakarta’s respected academic community.</w:t>
      </w:r>
    </w:p>
    <w:bookmarkEnd w:id="21"/>
    <w:bookmarkStart w:id="22" w:name="positioning-value-proposition"/>
    <w:p>
      <w:pPr>
        <w:pStyle w:val="Heading2"/>
      </w:pPr>
      <w:r>
        <w:t xml:space="preserve">Positioning &amp; Value Proposition</w:t>
      </w:r>
    </w:p>
    <w:p>
      <w:pPr>
        <w:pStyle w:val="FirstParagraph"/>
      </w:pPr>
      <w:r>
        <w:rPr>
          <w:bCs/>
          <w:b/>
        </w:rPr>
        <w:t xml:space="preserve">Professor</w:t>
      </w:r>
      <w:r>
        <w:t xml:space="preserve"> </w:t>
      </w:r>
      <w:r>
        <w:t xml:space="preserve">is positioned as: “The trusted academic companion for Jakarta families, where every lesson respects our cultural legacy while delivering world-class results.” Unlike competitors like Ruangguru or Zenius, Professor differentiates through:</w:t>
      </w:r>
    </w:p>
    <w:p>
      <w:pPr>
        <w:numPr>
          <w:ilvl w:val="0"/>
          <w:numId w:val="1002"/>
        </w:numPr>
        <w:pStyle w:val="Compact"/>
      </w:pPr>
      <w:r>
        <w:rPr>
          <w:bCs/>
          <w:b/>
        </w:rPr>
        <w:t xml:space="preserve">Culturally Resonant Content:</w:t>
      </w:r>
      <w:r>
        <w:t xml:space="preserve"> </w:t>
      </w:r>
      <w:r>
        <w:t xml:space="preserve">All materials use Bahasa Indonesia with local examples (e.g., math problems referencing Jakarta landmarks like Monas or TransJakarta routes).</w:t>
      </w:r>
    </w:p>
    <w:p>
      <w:pPr>
        <w:numPr>
          <w:ilvl w:val="0"/>
          <w:numId w:val="1002"/>
        </w:numPr>
        <w:pStyle w:val="Compact"/>
      </w:pPr>
      <w:r>
        <w:rPr>
          <w:bCs/>
          <w:b/>
        </w:rPr>
        <w:t xml:space="preserve">Teacher-Centric Model:</w:t>
      </w:r>
      <w:r>
        <w:t xml:space="preserve"> </w:t>
      </w:r>
      <w:r>
        <w:t xml:space="preserve">Collaborating with Jakarta-based educators (e.g., alumni of UI, ITB) to co-create content, ensuring pedagogical alignment with national curriculum and local exam trends.</w:t>
      </w:r>
    </w:p>
    <w:p>
      <w:pPr>
        <w:numPr>
          <w:ilvl w:val="0"/>
          <w:numId w:val="1002"/>
        </w:numPr>
        <w:pStyle w:val="Compact"/>
      </w:pPr>
      <w:r>
        <w:rPr>
          <w:bCs/>
          <w:b/>
        </w:rPr>
        <w:t xml:space="preserve">Parent-Teacher Community Hub:</w:t>
      </w:r>
      <w:r>
        <w:t xml:space="preserve"> </w:t>
      </w:r>
      <w:r>
        <w:t xml:space="preserve">A dedicated feature for parents to connect with teachers via scheduled "virtual kelas" (class sessions), mirroring Jakarta’s emphasis on parental involvement in education.</w:t>
      </w:r>
    </w:p>
    <w:bookmarkEnd w:id="22"/>
    <w:bookmarkStart w:id="23" w:name="target-audience-segmentation"/>
    <w:p>
      <w:pPr>
        <w:pStyle w:val="Heading2"/>
      </w:pPr>
      <w:r>
        <w:t xml:space="preserve">Target Audience Segmentation</w:t>
      </w:r>
    </w:p>
    <w:p>
      <w:pPr>
        <w:pStyle w:val="FirstParagraph"/>
      </w:pPr>
      <w:r>
        <w:t xml:space="preserve">We focus on three high-potential segments in Jakarta:</w:t>
      </w:r>
    </w:p>
    <w:p>
      <w:pPr>
        <w:numPr>
          <w:ilvl w:val="0"/>
          <w:numId w:val="1003"/>
        </w:numPr>
        <w:pStyle w:val="Compact"/>
      </w:pPr>
      <w:r>
        <w:rPr>
          <w:bCs/>
          <w:b/>
        </w:rPr>
        <w:t xml:space="preserve">Urban Middle-Class Families (Ages 10–18):</w:t>
      </w:r>
      <w:r>
        <w:t xml:space="preserve"> </w:t>
      </w:r>
      <w:r>
        <w:t xml:space="preserve">Parents prioritizing academic excellence for SNMPTN/UN prep. They value credibility and community validation over low-cost options.</w:t>
      </w:r>
    </w:p>
    <w:p>
      <w:pPr>
        <w:numPr>
          <w:ilvl w:val="0"/>
          <w:numId w:val="1003"/>
        </w:numPr>
        <w:pStyle w:val="Compact"/>
      </w:pPr>
      <w:r>
        <w:rPr>
          <w:bCs/>
          <w:b/>
        </w:rPr>
        <w:t xml:space="preserve">Schools &amp; Educational Institutions:</w:t>
      </w:r>
      <w:r>
        <w:t xml:space="preserve"> </w:t>
      </w:r>
      <w:r>
        <w:t xml:space="preserve">Jakarta-based private schools seeking digital integration tools that align with local teaching philosophies (e.g., "Pembelajaran Aktif" active learning).</w:t>
      </w:r>
    </w:p>
    <w:p>
      <w:pPr>
        <w:numPr>
          <w:ilvl w:val="0"/>
          <w:numId w:val="1003"/>
        </w:numPr>
        <w:pStyle w:val="Compact"/>
      </w:pPr>
      <w:r>
        <w:rPr>
          <w:bCs/>
          <w:b/>
        </w:rPr>
        <w:t xml:space="preserve">Self-Directed Students (Ages 15–20):</w:t>
      </w:r>
      <w:r>
        <w:t xml:space="preserve"> </w:t>
      </w:r>
      <w:r>
        <w:t xml:space="preserve">Tech-savvy students using TikTok/Instagram for study content; they seek relatable, engaging resources over formal lectures.</w:t>
      </w:r>
    </w:p>
    <w:bookmarkEnd w:id="23"/>
    <w:bookmarkStart w:id="28" w:name="marketing-mix-strategy"/>
    <w:p>
      <w:pPr>
        <w:pStyle w:val="Heading2"/>
      </w:pPr>
      <w:r>
        <w:t xml:space="preserve">Marketing Mix Strategy</w:t>
      </w:r>
    </w:p>
    <w:bookmarkStart w:id="24" w:name="X023232028280e27ea2c1bb500ecf48ccd8286f9"/>
    <w:p>
      <w:pPr>
        <w:pStyle w:val="Heading3"/>
      </w:pPr>
      <w:r>
        <w:t xml:space="preserve">Product: Jakarta-Optimized Learning Modules</w:t>
      </w:r>
    </w:p>
    <w:p>
      <w:pPr>
        <w:pStyle w:val="FirstParagraph"/>
      </w:pPr>
      <w:r>
        <w:t xml:space="preserve">All courses are developed with input from 50+ Jakarta-based educators. Features include:</w:t>
      </w:r>
    </w:p>
    <w:p>
      <w:pPr>
        <w:numPr>
          <w:ilvl w:val="0"/>
          <w:numId w:val="1004"/>
        </w:numPr>
        <w:pStyle w:val="Compact"/>
      </w:pPr>
      <w:r>
        <w:rPr>
          <w:bCs/>
          <w:b/>
        </w:rPr>
        <w:t xml:space="preserve">Semester-Based Roadmaps:</w:t>
      </w:r>
      <w:r>
        <w:t xml:space="preserve"> </w:t>
      </w:r>
      <w:r>
        <w:t xml:space="preserve">Aligned with Indonesian academic calendars (e.g., "Persiapan UNBK Semester 2")</w:t>
      </w:r>
    </w:p>
    <w:p>
      <w:pPr>
        <w:numPr>
          <w:ilvl w:val="0"/>
          <w:numId w:val="1004"/>
        </w:numPr>
        <w:pStyle w:val="Compact"/>
      </w:pPr>
      <w:r>
        <w:rPr>
          <w:bCs/>
          <w:b/>
        </w:rPr>
        <w:t xml:space="preserve">Bahasa Indonesia Immersion Mode:</w:t>
      </w:r>
      <w:r>
        <w:t xml:space="preserve"> </w:t>
      </w:r>
      <w:r>
        <w:t xml:space="preserve">Content delivered in clear, conversational Bahasa Indonesia—no English translations.</w:t>
      </w:r>
    </w:p>
    <w:p>
      <w:pPr>
        <w:numPr>
          <w:ilvl w:val="0"/>
          <w:numId w:val="1004"/>
        </w:numPr>
        <w:pStyle w:val="Compact"/>
      </w:pPr>
      <w:r>
        <w:rPr>
          <w:bCs/>
          <w:b/>
        </w:rPr>
        <w:t xml:space="preserve">Local Exam Simulation:</w:t>
      </w:r>
      <w:r>
        <w:t xml:space="preserve"> </w:t>
      </w:r>
      <w:r>
        <w:t xml:space="preserve">Practice tests mirroring Jakarta’s specific exam formats (e.g., "Soal UNBK 2024 Jakarta Region").</w:t>
      </w:r>
    </w:p>
    <w:bookmarkEnd w:id="24"/>
    <w:bookmarkStart w:id="25" w:name="pricing-tiered-for-jakarta-affordability"/>
    <w:p>
      <w:pPr>
        <w:pStyle w:val="Heading3"/>
      </w:pPr>
      <w:r>
        <w:t xml:space="preserve">Pricing: Tiered for Jakarta Affordability</w:t>
      </w:r>
    </w:p>
    <w:p>
      <w:pPr>
        <w:pStyle w:val="FirstParagraph"/>
      </w:pPr>
      <w:r>
        <w:t xml:space="preserve">Flexible pricing respecting local purchasing power:</w:t>
      </w:r>
    </w:p>
    <w:p>
      <w:pPr>
        <w:numPr>
          <w:ilvl w:val="0"/>
          <w:numId w:val="1005"/>
        </w:numPr>
        <w:pStyle w:val="Compact"/>
      </w:pPr>
      <w:r>
        <w:rPr>
          <w:bCs/>
          <w:b/>
        </w:rPr>
        <w:t xml:space="preserve">Essential (IDR 99,000/month):</w:t>
      </w:r>
      <w:r>
        <w:t xml:space="preserve"> </w:t>
      </w:r>
      <w:r>
        <w:t xml:space="preserve">Basic AI-driven practice with core curriculum support.</w:t>
      </w:r>
    </w:p>
    <w:p>
      <w:pPr>
        <w:numPr>
          <w:ilvl w:val="0"/>
          <w:numId w:val="1005"/>
        </w:numPr>
        <w:pStyle w:val="Compact"/>
      </w:pPr>
      <w:r>
        <w:rPr>
          <w:bCs/>
          <w:b/>
        </w:rPr>
        <w:t xml:space="preserve">Premium (IDR 249,000/month):</w:t>
      </w:r>
      <w:r>
        <w:t xml:space="preserve"> </w:t>
      </w:r>
      <w:r>
        <w:t xml:space="preserve">Includes personalized feedback from Jakarta educators and weekly virtual "konsultasi" sessions.</w:t>
      </w:r>
    </w:p>
    <w:p>
      <w:pPr>
        <w:numPr>
          <w:ilvl w:val="0"/>
          <w:numId w:val="1005"/>
        </w:numPr>
        <w:pStyle w:val="Compact"/>
      </w:pPr>
      <w:r>
        <w:rPr>
          <w:bCs/>
          <w:b/>
        </w:rPr>
        <w:t xml:space="preserve">School Partnership (Custom Pricing):</w:t>
      </w:r>
      <w:r>
        <w:t xml:space="preserve"> </w:t>
      </w:r>
      <w:r>
        <w:t xml:space="preserve">Bundled solutions for Jakarta schools at 30% lower cost than competitors.</w:t>
      </w:r>
    </w:p>
    <w:bookmarkEnd w:id="25"/>
    <w:bookmarkStart w:id="26" w:name="promotion-hyper-local-community-building"/>
    <w:p>
      <w:pPr>
        <w:pStyle w:val="Heading3"/>
      </w:pPr>
      <w:r>
        <w:t xml:space="preserve">Promotion: Hyper-Local Community Building</w:t>
      </w:r>
    </w:p>
    <w:p>
      <w:pPr>
        <w:pStyle w:val="FirstParagraph"/>
      </w:pPr>
      <w:r>
        <w:t xml:space="preserve">Our campaign leverages Jakarta’s social fabric through:</w:t>
      </w:r>
    </w:p>
    <w:p>
      <w:pPr>
        <w:numPr>
          <w:ilvl w:val="0"/>
          <w:numId w:val="1006"/>
        </w:numPr>
        <w:pStyle w:val="Compact"/>
      </w:pPr>
      <w:r>
        <w:rPr>
          <w:bCs/>
          <w:b/>
        </w:rPr>
        <w:t xml:space="preserve">TikTok &amp; Instagram "Kelas Kita" Series:</w:t>
      </w:r>
      <w:r>
        <w:t xml:space="preserve"> </w:t>
      </w:r>
      <w:r>
        <w:t xml:space="preserve">Short videos featuring Jakarta teachers solving exam problems in real-world settings (e.g., a tutor on a Jalan Sudirman traffic jam using a whiteboard app).</w:t>
      </w:r>
    </w:p>
    <w:p>
      <w:pPr>
        <w:numPr>
          <w:ilvl w:val="0"/>
          <w:numId w:val="1006"/>
        </w:numPr>
        <w:pStyle w:val="Compact"/>
      </w:pPr>
      <w:r>
        <w:rPr>
          <w:bCs/>
          <w:b/>
        </w:rPr>
        <w:t xml:space="preserve">Community Events:</w:t>
      </w:r>
      <w:r>
        <w:t xml:space="preserve"> </w:t>
      </w:r>
      <w:r>
        <w:t xml:space="preserve">Free "Pelatihan Parenting Akademik" workshops at Jakarta community centers (e.g., Taman Mini Indonesia Indah), hosted by local educators.</w:t>
      </w:r>
    </w:p>
    <w:p>
      <w:pPr>
        <w:numPr>
          <w:ilvl w:val="0"/>
          <w:numId w:val="1006"/>
        </w:numPr>
        <w:pStyle w:val="Compact"/>
      </w:pPr>
      <w:r>
        <w:rPr>
          <w:bCs/>
          <w:b/>
        </w:rPr>
        <w:t xml:space="preserve">Influencer Partnerships:</w:t>
      </w:r>
      <w:r>
        <w:t xml:space="preserve"> </w:t>
      </w:r>
      <w:r>
        <w:t xml:space="preserve">Collaborations with trusted Jakarta micro-influencers in education (e.g., @BundaJagoan, 250k followers) for authentic testimonials.</w:t>
      </w:r>
    </w:p>
    <w:bookmarkEnd w:id="26"/>
    <w:bookmarkStart w:id="27" w:name="X3e2477f480f0e9adddc132c90e4021643e276af"/>
    <w:p>
      <w:pPr>
        <w:pStyle w:val="Heading3"/>
      </w:pPr>
      <w:r>
        <w:t xml:space="preserve">Place: Accessibility Through Jakarta’s Ecosystem</w:t>
      </w:r>
    </w:p>
    <w:p>
      <w:pPr>
        <w:pStyle w:val="FirstParagraph"/>
      </w:pPr>
      <w:r>
        <w:t xml:space="preserve">We ensure seamless access across Jakarta’s infrastructure:</w:t>
      </w:r>
    </w:p>
    <w:p>
      <w:pPr>
        <w:numPr>
          <w:ilvl w:val="0"/>
          <w:numId w:val="1007"/>
        </w:numPr>
        <w:pStyle w:val="Compact"/>
      </w:pPr>
      <w:r>
        <w:rPr>
          <w:bCs/>
          <w:b/>
        </w:rPr>
        <w:t xml:space="preserve">Offline-First App:</w:t>
      </w:r>
      <w:r>
        <w:t xml:space="preserve"> </w:t>
      </w:r>
      <w:r>
        <w:t xml:space="preserve">Functionality for low-bandwidth areas (e.g., Ciputat, Depok) with downloadable content.</w:t>
      </w:r>
    </w:p>
    <w:p>
      <w:pPr>
        <w:numPr>
          <w:ilvl w:val="0"/>
          <w:numId w:val="1007"/>
        </w:numPr>
        <w:pStyle w:val="Compact"/>
      </w:pPr>
      <w:r>
        <w:rPr>
          <w:bCs/>
          <w:b/>
        </w:rPr>
        <w:t xml:space="preserve">Partnerships with Local Retailers:</w:t>
      </w:r>
      <w:r>
        <w:t xml:space="preserve"> </w:t>
      </w:r>
      <w:r>
        <w:t xml:space="preserve">Selling "Professor" voucher codes at Jakarta convenience stores (e.g., Indomaret, Alfamart).</w:t>
      </w:r>
    </w:p>
    <w:p>
      <w:pPr>
        <w:numPr>
          <w:ilvl w:val="0"/>
          <w:numId w:val="1007"/>
        </w:numPr>
        <w:pStyle w:val="Compact"/>
      </w:pPr>
      <w:r>
        <w:rPr>
          <w:bCs/>
          <w:b/>
        </w:rPr>
        <w:t xml:space="preserve">School Integrations:</w:t>
      </w:r>
      <w:r>
        <w:t xml:space="preserve"> </w:t>
      </w:r>
      <w:r>
        <w:t xml:space="preserve">Direct onboarding via Jakarta private schools like Sekolah Alam and SMA Negeri 10.</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in West Jakarta (high-density urban area) with free workshops at community centers. Partner with 5 schools for pilot programs.</w:t>
      </w:r>
    </w:p>
    <w:p>
      <w:pPr>
        <w:pStyle w:val="BodyText"/>
      </w:pPr>
      <w:r>
        <w:rPr>
          <w:bCs/>
          <w:b/>
        </w:rPr>
        <w:t xml:space="preserve">Months 4–9:</w:t>
      </w:r>
      <w:r>
        <w:t xml:space="preserve"> </w:t>
      </w:r>
      <w:r>
        <w:t xml:space="preserve">Scale to all five Jakarta administrative regions (Jakarta Pusat, Utara, Selatan, Barat, Timur). Introduce "Professor Parent Ambassador" program where satisfied users recruit peers.</w:t>
      </w:r>
    </w:p>
    <w:p>
      <w:pPr>
        <w:pStyle w:val="BodyText"/>
      </w:pPr>
      <w:r>
        <w:rPr>
          <w:bCs/>
          <w:b/>
        </w:rPr>
        <w:t xml:space="preserve">Months 10–24:</w:t>
      </w:r>
      <w:r>
        <w:t xml:space="preserve"> </w:t>
      </w:r>
      <w:r>
        <w:t xml:space="preserve">Expand into surrounding areas (Bogor/Tangerang), while refining content based on Jakarta-specific exam data. Target 50,000 active users in Jakarta by Month 24.</w:t>
      </w:r>
    </w:p>
    <w:bookmarkEnd w:id="29"/>
    <w:bookmarkStart w:id="30" w:name="kpis-for-success"/>
    <w:p>
      <w:pPr>
        <w:pStyle w:val="Heading2"/>
      </w:pPr>
      <w:r>
        <w:t xml:space="preserve">KPIs for Success</w:t>
      </w:r>
    </w:p>
    <w:p>
      <w:pPr>
        <w:numPr>
          <w:ilvl w:val="0"/>
          <w:numId w:val="1008"/>
        </w:numPr>
        <w:pStyle w:val="Compact"/>
      </w:pPr>
      <w:r>
        <w:rPr>
          <w:bCs/>
          <w:b/>
        </w:rPr>
        <w:t xml:space="preserve">Customer Acquisition Cost:</w:t>
      </w:r>
      <w:r>
        <w:t xml:space="preserve"> </w:t>
      </w:r>
      <w:r>
        <w:t xml:space="preserve">Below IDR 150,000 (vs. industry average of IDR 350,000).</w:t>
      </w:r>
    </w:p>
    <w:p>
      <w:pPr>
        <w:numPr>
          <w:ilvl w:val="0"/>
          <w:numId w:val="1008"/>
        </w:numPr>
        <w:pStyle w:val="Compact"/>
      </w:pPr>
      <w:r>
        <w:rPr>
          <w:bCs/>
          <w:b/>
        </w:rPr>
        <w:t xml:space="preserve">User Retention:</w:t>
      </w:r>
      <w:r>
        <w:t xml:space="preserve"> </w:t>
      </w:r>
      <w:r>
        <w:t xml:space="preserve">Achieve 75% monthly retention through personalized engagement.</w:t>
      </w:r>
    </w:p>
    <w:p>
      <w:pPr>
        <w:numPr>
          <w:ilvl w:val="0"/>
          <w:numId w:val="1008"/>
        </w:numPr>
        <w:pStyle w:val="Compact"/>
      </w:pPr>
      <w:r>
        <w:rPr>
          <w:bCs/>
          <w:b/>
        </w:rPr>
        <w:t xml:space="preserve">Brand Perception:</w:t>
      </w:r>
      <w:r>
        <w:t xml:space="preserve"> </w:t>
      </w:r>
      <w:r>
        <w:t xml:space="preserve">Be named "Most Trusted Academic Partner" in Jakarta by 2025 (measured via local surveys).</w:t>
      </w:r>
    </w:p>
    <w:bookmarkEnd w:id="30"/>
    <w:bookmarkStart w:id="31" w:name="conclusion"/>
    <w:p>
      <w:pPr>
        <w:pStyle w:val="Heading2"/>
      </w:pPr>
      <w:r>
        <w:t xml:space="preserve">Conclusion</w:t>
      </w:r>
    </w:p>
    <w:p>
      <w:pPr>
        <w:pStyle w:val="FirstParagraph"/>
      </w:pPr>
      <w:r>
        <w:t xml:space="preserve">The Professor marketing plan is not merely a product launch—it’s a cultural integration strategy for Jakarta’s education ecosystem. By embedding ourselves within the city’s academic traditions, respecting parental values, and solving real Jakarta-specific pain points, we position Professor as indispensable to students and educators. This isn’t just another edtech platform; it’s the answer to Jakarta's quest for excellence that honors its heritage while embracing innovation. With aggressive localization and community-centric execution, Professor will redefine what "academic success" means for Indonesia’s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Jakarta, Indonesia</dc:title>
  <dc:creator/>
  <dc:language>en</dc:language>
  <cp:keywords/>
  <dcterms:created xsi:type="dcterms:W3CDTF">2026-07-21T08:47:29Z</dcterms:created>
  <dcterms:modified xsi:type="dcterms:W3CDTF">2026-07-21T08:47:29Z</dcterms:modified>
</cp:coreProperties>
</file>

<file path=docProps/custom.xml><?xml version="1.0" encoding="utf-8"?>
<Properties xmlns="http://schemas.openxmlformats.org/officeDocument/2006/custom-properties" xmlns:vt="http://schemas.openxmlformats.org/officeDocument/2006/docPropsVTypes"/>
</file>