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Professor</w:t>
      </w:r>
      <w:r>
        <w:t xml:space="preserve"> </w:t>
      </w:r>
      <w:r>
        <w:t xml:space="preserve">Learning</w:t>
      </w:r>
      <w:r>
        <w:t xml:space="preserve"> </w:t>
      </w:r>
      <w:r>
        <w:t xml:space="preserve">Platform</w:t>
      </w:r>
      <w:r>
        <w:t xml:space="preserve"> </w:t>
      </w:r>
      <w:r>
        <w:t xml:space="preserve">in</w:t>
      </w:r>
      <w:r>
        <w:t xml:space="preserve"> </w:t>
      </w:r>
      <w:r>
        <w:t xml:space="preserve">Japan</w:t>
      </w:r>
      <w:r>
        <w:t xml:space="preserve"> </w:t>
      </w:r>
      <w:r>
        <w:t xml:space="preserve">Osaka</w:t>
      </w:r>
    </w:p>
    <w:bookmarkStart w:id="31" w:name="X6d124bed90fa271f3ea15741247c1e177c870f0"/>
    <w:p>
      <w:pPr>
        <w:pStyle w:val="Heading1"/>
      </w:pPr>
      <w:r>
        <w:t xml:space="preserve">Comprehensive Marketing Plan: Professor Learning Platform Launch Strategy for Japan Osaka Market</w:t>
      </w:r>
    </w:p>
    <w:bookmarkStart w:id="20" w:name="executive-summary"/>
    <w:p>
      <w:pPr>
        <w:pStyle w:val="Heading2"/>
      </w:pPr>
      <w:r>
        <w:t xml:space="preserve">Executive Summary</w:t>
      </w:r>
    </w:p>
    <w:p>
      <w:pPr>
        <w:pStyle w:val="FirstParagraph"/>
      </w:pPr>
      <w:r>
        <w:t xml:space="preserve">This strategic Marketing Plan outlines the entry and growth approach for "Professor," a premium AI-powered educational platform designed specifically for adult learners in Japan Osaka. Targeting Osaka's unique educational landscape, this plan leverages the city's reputation as Japan's second-largest economic hub and its high concentration of professionals seeking upskilling opportunities. The core objective is to establish Professor as the leading personalized learning solution within 18 months, achieving 15% market penetration among corporate clients and 8% among individual learners in Osaka by Q4 2025.</w:t>
      </w:r>
    </w:p>
    <w:bookmarkEnd w:id="20"/>
    <w:bookmarkStart w:id="21" w:name="market-analysis-japan-osaka-context"/>
    <w:p>
      <w:pPr>
        <w:pStyle w:val="Heading2"/>
      </w:pPr>
      <w:r>
        <w:t xml:space="preserve">Market Analysis: Japan Osaka Context</w:t>
      </w:r>
    </w:p>
    <w:p>
      <w:pPr>
        <w:pStyle w:val="FirstParagraph"/>
      </w:pPr>
      <w:r>
        <w:t xml:space="preserve">Osaka's educational market presents distinct opportunities. With over 1.9 million students across universities (including Kansai University, Osaka City University) and a thriving corporate sector, there is significant demand for flexible, high-quality learning solutions that align with Japanese workplace culture. Unlike Tokyo's intense competitive environment, Osaka values practicality and community—key insights informing our positioning. The city's strong digital adoption rate (87% smartphone penetration among professionals) creates fertile ground for an app-based platform like Professor. Crucially, Japanese learners prioritize "sense of achievement" and credentialing; Professor will integrate recognized Japanese certification pathways to address this unmet need.</w:t>
      </w:r>
    </w:p>
    <w:bookmarkEnd w:id="21"/>
    <w:bookmarkStart w:id="22" w:name="target-audience-segmentation"/>
    <w:p>
      <w:pPr>
        <w:pStyle w:val="Heading2"/>
      </w:pPr>
      <w:r>
        <w:t xml:space="preserve">Target Audience Segmentation</w:t>
      </w:r>
    </w:p>
    <w:p>
      <w:pPr>
        <w:pStyle w:val="FirstParagraph"/>
      </w:pPr>
      <w:r>
        <w:rPr>
          <w:bCs/>
          <w:b/>
        </w:rPr>
        <w:t xml:space="preserve">Primary Segment: Osaka Corporate Professionals (28-45 years)</w:t>
      </w:r>
    </w:p>
    <w:p>
      <w:pPr>
        <w:numPr>
          <w:ilvl w:val="0"/>
          <w:numId w:val="1001"/>
        </w:numPr>
        <w:pStyle w:val="Compact"/>
      </w:pPr>
      <w:r>
        <w:t xml:space="preserve">Seeking career advancement in Osaka's key industries (logistics, manufacturing, food tech)</w:t>
      </w:r>
    </w:p>
    <w:p>
      <w:pPr>
        <w:numPr>
          <w:ilvl w:val="0"/>
          <w:numId w:val="1001"/>
        </w:numPr>
        <w:pStyle w:val="Compact"/>
      </w:pPr>
      <w:r>
        <w:t xml:space="preserve">Value face-to-face interaction combined with digital flexibility</w:t>
      </w:r>
    </w:p>
    <w:p>
      <w:pPr>
        <w:numPr>
          <w:ilvl w:val="0"/>
          <w:numId w:val="1001"/>
        </w:numPr>
        <w:pStyle w:val="Compact"/>
      </w:pPr>
      <w:r>
        <w:t xml:space="preserve">Currently overwhelmed by generic online courses lacking cultural relevance</w:t>
      </w:r>
    </w:p>
    <w:p>
      <w:pPr>
        <w:pStyle w:val="FirstParagraph"/>
      </w:pPr>
      <w:r>
        <w:rPr>
          <w:bCs/>
          <w:b/>
        </w:rPr>
        <w:t xml:space="preserve">Secondary Segment: Osaka University Students &amp; Recent Graduates</w:t>
      </w:r>
    </w:p>
    <w:p>
      <w:pPr>
        <w:numPr>
          <w:ilvl w:val="0"/>
          <w:numId w:val="1002"/>
        </w:numPr>
        <w:pStyle w:val="Compact"/>
      </w:pPr>
      <w:r>
        <w:t xml:space="preserve">Leveraging Osaka's status as an educational hub (15+ universities)</w:t>
      </w:r>
    </w:p>
    <w:p>
      <w:pPr>
        <w:numPr>
          <w:ilvl w:val="0"/>
          <w:numId w:val="1002"/>
        </w:numPr>
        <w:pStyle w:val="Compact"/>
      </w:pPr>
      <w:r>
        <w:t xml:space="preserve">Seeking supplementary skills for internships/jobs in Osaka's dynamic economy</w:t>
      </w:r>
    </w:p>
    <w:p>
      <w:pPr>
        <w:numPr>
          <w:ilvl w:val="0"/>
          <w:numId w:val="1002"/>
        </w:numPr>
        <w:pStyle w:val="Compact"/>
      </w:pPr>
      <w:r>
        <w:t xml:space="preserve">Highly influenced by peer recommendations in tight-knit communities</w:t>
      </w:r>
    </w:p>
    <w:bookmarkEnd w:id="22"/>
    <w:bookmarkStart w:id="23" w:name="X8efe6e533637b1c5533d6c897065d716b5cce9b"/>
    <w:p>
      <w:pPr>
        <w:pStyle w:val="Heading2"/>
      </w:pPr>
      <w:r>
        <w:t xml:space="preserve">Unique Value Proposition: Professor in Japan Osaka</w:t>
      </w:r>
    </w:p>
    <w:p>
      <w:pPr>
        <w:pStyle w:val="FirstParagraph"/>
      </w:pPr>
      <w:r>
        <w:t xml:space="preserve">"Professor" is not merely another learning app—it’s a culturally attuned educational ecosystem designed for Osaka’s professional ethos. Our platform delivers:</w:t>
      </w:r>
    </w:p>
    <w:p>
      <w:pPr>
        <w:numPr>
          <w:ilvl w:val="0"/>
          <w:numId w:val="1003"/>
        </w:numPr>
        <w:pStyle w:val="Compact"/>
      </w:pPr>
      <w:r>
        <w:rPr>
          <w:bCs/>
          <w:b/>
        </w:rPr>
        <w:t xml:space="preserve">Certified Japanese Curriculum:</w:t>
      </w:r>
      <w:r>
        <w:t xml:space="preserve"> </w:t>
      </w:r>
      <w:r>
        <w:t xml:space="preserve">All courses align with METI (Ministry of Economy, Trade and Industry) standards and partner with Osaka Chamber of Commerce for recognized micro-credentials.</w:t>
      </w:r>
    </w:p>
    <w:p>
      <w:pPr>
        <w:numPr>
          <w:ilvl w:val="0"/>
          <w:numId w:val="1003"/>
        </w:numPr>
        <w:pStyle w:val="Compact"/>
      </w:pPr>
      <w:r>
        <w:rPr>
          <w:bCs/>
          <w:b/>
        </w:rPr>
        <w:t xml:space="preserve">Osaka-Centric Content:</w:t>
      </w:r>
      <w:r>
        <w:t xml:space="preserve"> </w:t>
      </w:r>
      <w:r>
        <w:t xml:space="preserve">Case studies featuring local success stories (e.g., "How a Namba-based startup used AI tools," "Osaka Manufacturing 4.0 Transformation").</w:t>
      </w:r>
    </w:p>
    <w:p>
      <w:pPr>
        <w:numPr>
          <w:ilvl w:val="0"/>
          <w:numId w:val="1003"/>
        </w:numPr>
        <w:pStyle w:val="Compact"/>
      </w:pPr>
      <w:r>
        <w:rPr>
          <w:bCs/>
          <w:b/>
        </w:rPr>
        <w:t xml:space="preserve">Harmony Learning Model:</w:t>
      </w:r>
      <w:r>
        <w:t xml:space="preserve"> </w:t>
      </w:r>
      <w:r>
        <w:t xml:space="preserve">Combines AI personalization with optional in-person sessions at Osaka partner venues (e.g., Umeda Business Center, Namba Innovation Hub), respecting Japan’s emphasis on "wa" (harmony).</w:t>
      </w:r>
    </w:p>
    <w:bookmarkEnd w:id="23"/>
    <w:bookmarkStart w:id="26" w:name="X571fa1ca14a4f8f879262c508df365a79caae25"/>
    <w:p>
      <w:pPr>
        <w:pStyle w:val="Heading2"/>
      </w:pPr>
      <w:r>
        <w:t xml:space="preserve">Marketing Strategy: Localized for Japan Osaka</w:t>
      </w:r>
    </w:p>
    <w:p>
      <w:pPr>
        <w:pStyle w:val="FirstParagraph"/>
      </w:pPr>
      <w:r>
        <w:t xml:space="preserve">This Marketing Plan prioritizes hyper-local engagement in Osaka through three pillars:</w:t>
      </w:r>
    </w:p>
    <w:bookmarkStart w:id="24" w:name="strategic-partnerships-in-osaka"/>
    <w:p>
      <w:pPr>
        <w:pStyle w:val="Heading3"/>
      </w:pPr>
      <w:r>
        <w:t xml:space="preserve">1. Strategic Partnerships in Osaka</w:t>
      </w:r>
    </w:p>
    <w:p>
      <w:pPr>
        <w:numPr>
          <w:ilvl w:val="0"/>
          <w:numId w:val="1004"/>
        </w:numPr>
        <w:pStyle w:val="Compact"/>
      </w:pPr>
      <w:r>
        <w:rPr>
          <w:bCs/>
          <w:b/>
        </w:rPr>
        <w:t xml:space="preserve">Corporate Alliances:</w:t>
      </w:r>
      <w:r>
        <w:t xml:space="preserve"> </w:t>
      </w:r>
      <w:r>
        <w:t xml:space="preserve">Collaborate with major Osaka employers (e.g., Panasonic HQ, Kansai Airlines) for tailored enterprise programs. Offer "Professor Certified" badge on employee credentials—a key motivator in Japanese corporate culture.</w:t>
      </w:r>
    </w:p>
    <w:p>
      <w:pPr>
        <w:numPr>
          <w:ilvl w:val="0"/>
          <w:numId w:val="1004"/>
        </w:numPr>
        <w:pStyle w:val="Compact"/>
      </w:pPr>
      <w:r>
        <w:rPr>
          <w:bCs/>
          <w:b/>
        </w:rPr>
        <w:t xml:space="preserve">Educational Collaborations:</w:t>
      </w:r>
      <w:r>
        <w:t xml:space="preserve"> </w:t>
      </w:r>
      <w:r>
        <w:t xml:space="preserve">Partner with Osaka University’s career center for student referral programs and co-hosted workshops at their campus facilities.</w:t>
      </w:r>
    </w:p>
    <w:p>
      <w:pPr>
        <w:numPr>
          <w:ilvl w:val="0"/>
          <w:numId w:val="1004"/>
        </w:numPr>
        <w:pStyle w:val="Compact"/>
      </w:pPr>
      <w:r>
        <w:rPr>
          <w:bCs/>
          <w:b/>
        </w:rPr>
        <w:t xml:space="preserve">Community Integration:</w:t>
      </w:r>
      <w:r>
        <w:t xml:space="preserve"> </w:t>
      </w:r>
      <w:r>
        <w:t xml:space="preserve">Sponsor Osaka’s "Osaka Tech Week" events and local business networking groups (e.g., Osaka Young Professionals Association) to build trust organically.</w:t>
      </w:r>
    </w:p>
    <w:bookmarkEnd w:id="24"/>
    <w:bookmarkStart w:id="25" w:name="culturally-resonant-digital-campaigns"/>
    <w:p>
      <w:pPr>
        <w:pStyle w:val="Heading3"/>
      </w:pPr>
      <w:r>
        <w:t xml:space="preserve">2. Culturally Resonant Digital Campaigns</w:t>
      </w:r>
    </w:p>
    <w:p>
      <w:pPr>
        <w:numPr>
          <w:ilvl w:val="0"/>
          <w:numId w:val="1005"/>
        </w:numPr>
        <w:pStyle w:val="Compact"/>
      </w:pPr>
      <w:r>
        <w:rPr>
          <w:bCs/>
          <w:b/>
        </w:rPr>
        <w:t xml:space="preserve">Localized Content:</w:t>
      </w:r>
      <w:r>
        <w:t xml:space="preserve"> </w:t>
      </w:r>
      <w:r>
        <w:t xml:space="preserve">All ads feature Osaka landscapes (Osaka Castle, Dotonbori at night) and Japanese-speaking instructors from Osaka. Messaging emphasizes "Gaining the knowledge to thrive in Osaka’s economy."</w:t>
      </w:r>
    </w:p>
    <w:p>
      <w:pPr>
        <w:numPr>
          <w:ilvl w:val="0"/>
          <w:numId w:val="1005"/>
        </w:numPr>
        <w:pStyle w:val="Compact"/>
      </w:pPr>
      <w:r>
        <w:rPr>
          <w:bCs/>
          <w:b/>
        </w:rPr>
        <w:t xml:space="preserve">Trust-Building Tactics:</w:t>
      </w:r>
      <w:r>
        <w:t xml:space="preserve"> </w:t>
      </w:r>
      <w:r>
        <w:t xml:space="preserve">Leverage Japan’s high-value influencer culture—partner with respected Osaka-based educators (e.g., retired university professors) for authentic testimonials.</w:t>
      </w:r>
    </w:p>
    <w:p>
      <w:pPr>
        <w:numPr>
          <w:ilvl w:val="0"/>
          <w:numId w:val="1005"/>
        </w:numPr>
        <w:pStyle w:val="Compact"/>
      </w:pPr>
      <w:r>
        <w:rPr>
          <w:bCs/>
          <w:b/>
        </w:rPr>
        <w:t xml:space="preserve">Digital Channels:</w:t>
      </w:r>
      <w:r>
        <w:t xml:space="preserve"> </w:t>
      </w:r>
      <w:r>
        <w:t xml:space="preserve">Prioritize LINE Business (92% usage among Japanese professionals) over Instagram. Use LINE for personalized course recommendations and "after-hours" support during Osaka’s 18:00–20:00 commute windows.</w:t>
      </w:r>
    </w:p>
    <w:p>
      <w:pPr>
        <w:pStyle w:val="FirstParagraph"/>
      </w:pPr>
      <w:r>
        <w:t xml:space="preserve">3. Community-Driven Launch in Osaka</w:t>
      </w:r>
    </w:p>
    <w:p>
      <w:pPr>
        <w:pStyle w:val="BodyText"/>
      </w:pPr>
      <w:r>
        <w:t xml:space="preserve">The launch event will be held at a historic Osaka venue (e.g., Shitennoji Temple’s modern annex) to symbolize tradition-meets-innovation. Key activities:</w:t>
      </w:r>
    </w:p>
    <w:p>
      <w:pPr>
        <w:numPr>
          <w:ilvl w:val="0"/>
          <w:numId w:val="1006"/>
        </w:numPr>
        <w:pStyle w:val="Compact"/>
      </w:pPr>
      <w:r>
        <w:t xml:space="preserve">Free "Professor Skill Assessment" workshops for 500+ attendees in Namba district.</w:t>
      </w:r>
    </w:p>
    <w:p>
      <w:pPr>
        <w:numPr>
          <w:ilvl w:val="0"/>
          <w:numId w:val="1006"/>
        </w:numPr>
        <w:pStyle w:val="Compact"/>
      </w:pPr>
      <w:r>
        <w:t xml:space="preserve">Co-hosted panel with Osaka business leaders discussing "Future-Proofing Careers in Osaka."</w:t>
      </w:r>
    </w:p>
    <w:p>
      <w:pPr>
        <w:numPr>
          <w:ilvl w:val="0"/>
          <w:numId w:val="1006"/>
        </w:numPr>
        <w:pStyle w:val="Compact"/>
      </w:pPr>
      <w:r>
        <w:t xml:space="preserve">Exclusive early access for participants, with follow-up by local account managers.</w:t>
      </w:r>
    </w:p>
    <w:bookmarkEnd w:id="25"/>
    <w:bookmarkEnd w:id="26"/>
    <w:bookmarkStart w:id="27" w:name="budget-allocation-japan-osaka-focus"/>
    <w:p>
      <w:pPr>
        <w:pStyle w:val="Heading2"/>
      </w:pPr>
      <w:r>
        <w:t xml:space="preserve">Budget Allocation: Japan Osaka Focus</w:t>
      </w:r>
    </w:p>
    <w:p>
      <w:pPr>
        <w:pStyle w:val="FirstParagraph"/>
      </w:pPr>
      <w:r>
        <w:t xml:space="preserve">Of the total $500K marketing budget, 70% is dedicated to Osaka-specific initiatives:</w:t>
      </w:r>
    </w:p>
    <w:p>
      <w:pPr>
        <w:numPr>
          <w:ilvl w:val="0"/>
          <w:numId w:val="1007"/>
        </w:numPr>
        <w:pStyle w:val="Compact"/>
      </w:pPr>
      <w:r>
        <w:t xml:space="preserve">45%: Local partnerships &amp; events (Osaka corporate sponsorships, venue costs)</w:t>
      </w:r>
    </w:p>
    <w:p>
      <w:pPr>
        <w:numPr>
          <w:ilvl w:val="0"/>
          <w:numId w:val="1007"/>
        </w:numPr>
        <w:pStyle w:val="Compact"/>
      </w:pPr>
      <w:r>
        <w:t xml:space="preserve">25%: Culturally tailored digital campaigns (LINE ads, Japanese-language content creation)</w:t>
      </w:r>
    </w:p>
    <w:p>
      <w:pPr>
        <w:numPr>
          <w:ilvl w:val="0"/>
          <w:numId w:val="1007"/>
        </w:numPr>
        <w:pStyle w:val="Compact"/>
      </w:pPr>
      <w:r>
        <w:t xml:space="preserve">15%: Community-building initiatives (workshops, local influencer fees)</w:t>
      </w:r>
    </w:p>
    <w:p>
      <w:pPr>
        <w:numPr>
          <w:ilvl w:val="0"/>
          <w:numId w:val="1007"/>
        </w:numPr>
        <w:pStyle w:val="Compact"/>
      </w:pPr>
      <w:r>
        <w:t xml:space="preserve">15%: Analytics &amp; localization optimization for Osaka market feedback</w:t>
      </w:r>
    </w:p>
    <w:bookmarkEnd w:id="27"/>
    <w:bookmarkStart w:id="28" w:name="kpis-and-timeline"/>
    <w:p>
      <w:pPr>
        <w:pStyle w:val="Heading2"/>
      </w:pPr>
      <w:r>
        <w:t xml:space="preserve">KPIs and Timeline</w:t>
      </w:r>
    </w:p>
    <w:p>
      <w:pPr>
        <w:pStyle w:val="FirstParagraph"/>
      </w:pPr>
      <w:r>
        <w:rPr>
          <w:bCs/>
          <w:b/>
        </w:rPr>
        <w:t xml:space="preserve">Short-Term (Q1-Q2 2024):</w:t>
      </w:r>
      <w:r>
        <w:t xml:space="preserve"> </w:t>
      </w:r>
      <w:r>
        <w:t xml:space="preserve">Achieve 500 paid users in Osaka; secure partnerships with 3 major Osaka corporations. Measure via sign-up rate from Osaka-specific campaigns.</w:t>
      </w:r>
    </w:p>
    <w:p>
      <w:pPr>
        <w:pStyle w:val="BodyText"/>
      </w:pPr>
      <w:r>
        <w:rPr>
          <w:bCs/>
          <w:b/>
        </w:rPr>
        <w:t xml:space="preserve">Mid-Term (Q3-Q4 2024):</w:t>
      </w:r>
      <w:r>
        <w:t xml:space="preserve"> </w:t>
      </w:r>
      <w:r>
        <w:t xml:space="preserve">Reach 1,500 active Professor users in Japan Osaka; achieve 75% client retention. Track via platform usage analytics and post-course satisfaction surveys.</w:t>
      </w:r>
    </w:p>
    <w:p>
      <w:pPr>
        <w:pStyle w:val="BodyText"/>
      </w:pPr>
      <w:r>
        <w:rPr>
          <w:bCs/>
          <w:b/>
        </w:rPr>
        <w:t xml:space="preserve">Long-Term (2025):</w:t>
      </w:r>
      <w:r>
        <w:t xml:space="preserve"> </w:t>
      </w:r>
      <w:r>
        <w:t xml:space="preserve">Become the top-rated learning platform for Osaka professionals (target: 4.8+ stars on Japanese review platforms like Rakuten). Drive expansion to Kyoto/Kobe using Osaka’s success as a blueprint.</w:t>
      </w:r>
    </w:p>
    <w:bookmarkEnd w:id="28"/>
    <w:bookmarkStart w:id="29" w:name="Xe91cdf4ca5c271c1bafd93860aa681f7ad847e4"/>
    <w:p>
      <w:pPr>
        <w:pStyle w:val="Heading2"/>
      </w:pPr>
      <w:r>
        <w:t xml:space="preserve">Why Professor in Japan Osaka? The Strategic Imperative</w:t>
      </w:r>
    </w:p>
    <w:p>
      <w:pPr>
        <w:pStyle w:val="FirstParagraph"/>
      </w:pPr>
      <w:r>
        <w:t xml:space="preserve">Osaka is not just another market—it’s the gateway to Japan’s pragmatic, results-oriented business culture. This Marketing Plan positions Professor as the bridge between global learning standards and Osaka’s unique professional identity. By embedding our solution within Osaka’s community fabric—through partnerships, content, and events—we transform "Professor" from a brand into an institution trusted by Osaka professionals. The success of this initiative will directly fuel expansion across Japan, proving that cultural intelligence is the ultimate marketing asset in the Japan Osaka market.</w:t>
      </w:r>
    </w:p>
    <w:bookmarkEnd w:id="29"/>
    <w:bookmarkStart w:id="30" w:name="conclusion"/>
    <w:p>
      <w:pPr>
        <w:pStyle w:val="Heading2"/>
      </w:pPr>
      <w:r>
        <w:t xml:space="preserve">Conclusion</w:t>
      </w:r>
    </w:p>
    <w:p>
      <w:pPr>
        <w:pStyle w:val="FirstParagraph"/>
      </w:pPr>
      <w:r>
        <w:t xml:space="preserve">This Marketing Plan delivers a precise, actionable roadmap for Professor to dominate the educational technology landscape in Japan Osaka. It moves beyond generic localization to build genuine community integration—ensuring "Professor" isn’t just a service, but an essential part of Osaka’s professional ecosystem. With its cultural authenticity, strategic partnerships, and measurable KPIs, this plan guarantees that Professor will be the go-to learning partner for professionals navigating Osaka’s dynamic economy. The future of education in Japan Osaka starts with Professor.</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Professor Learning Platform in Japan Osaka</dc:title>
  <dc:creator/>
  <dc:language>en</dc:language>
  <cp:keywords/>
  <dcterms:created xsi:type="dcterms:W3CDTF">2026-07-23T04:03:47Z</dcterms:created>
  <dcterms:modified xsi:type="dcterms:W3CDTF">2026-07-23T04:03:47Z</dcterms:modified>
</cp:coreProperties>
</file>

<file path=docProps/custom.xml><?xml version="1.0" encoding="utf-8"?>
<Properties xmlns="http://schemas.openxmlformats.org/officeDocument/2006/custom-properties" xmlns:vt="http://schemas.openxmlformats.org/officeDocument/2006/docPropsVTypes"/>
</file>