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Myanmar</w:t>
      </w:r>
      <w:r>
        <w:t xml:space="preserve"> </w:t>
      </w:r>
      <w:r>
        <w:t xml:space="preserve">Yangon</w:t>
      </w:r>
    </w:p>
    <w:bookmarkStart w:id="33" w:name="X9255177edf00d6d3ca3c60dbd801f0c988c556d"/>
    <w:p>
      <w:pPr>
        <w:pStyle w:val="Heading1"/>
      </w:pPr>
      <w:r>
        <w:t xml:space="preserve">Comprehensive Marketing Plan: Professor Educational Services for Myanmar Yangon Market</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 an innovative educational tutoring service – across Yangon, Myanmar. As the most populous city in Myanmar with over 8 million residents, Yangon represents a critical market for premium academic support. The plan addresses the growing demand for quality education among Myanmar's youth while positioning Professor as the trusted solution for students seeking personalized academic excellence. By leveraging local cultural nuances and digital trends in Myanmar Yangon, this plan targets 30% market penetration among secondary school students within 24 months through community-driven engagement and technology integration.</w:t>
      </w:r>
    </w:p>
    <w:bookmarkEnd w:id="20"/>
    <w:bookmarkStart w:id="21" w:name="X54fee2cb373c04ec039f9c75819210842854622"/>
    <w:p>
      <w:pPr>
        <w:pStyle w:val="Heading2"/>
      </w:pPr>
      <w:r>
        <w:t xml:space="preserve">Situation Analysis: The Myanmar Yangon Educational Landscape</w:t>
      </w:r>
    </w:p>
    <w:p>
      <w:pPr>
        <w:pStyle w:val="FirstParagraph"/>
      </w:pPr>
      <w:r>
        <w:t xml:space="preserve">Yangon's education sector faces significant challenges including overcrowded classrooms, standardized curricula lacking personalization, and a 40% student-teacher ratio exceeding national recommendations (Ministry of Education, 2023). A recent Yangon University survey revealed that 68% of parents prioritize supplemental tutoring for their children. The digital shift in Myanmar Yangon has accelerated with smartphone penetration reaching 75% in urban areas, creating unprecedented opportunities for digital education platforms like Professor. Competitors such as "Yangon Tutors" and "Myanmar Academy" lack localized content addressing Myanmar's unique syllabi (e.g., GCE O/L and A/L exams). Professor will differentiate through culturally attuned teaching methodologies and native-language support.</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Parents of students aged 13-18 in Yangon's middle and upper-income neighborhoods (Botahtaung, Lanmadaw, Hlaing Tharyar), prioritizing academic outcomes for their children.</w:t>
      </w:r>
    </w:p>
    <w:p>
      <w:pPr>
        <w:pStyle w:val="BodyText"/>
      </w:pPr>
      <w:r>
        <w:rPr>
          <w:bCs/>
          <w:b/>
        </w:rPr>
        <w:t xml:space="preserve">Secondary Audience:</w:t>
      </w:r>
      <w:r>
        <w:t xml:space="preserve"> </w:t>
      </w:r>
      <w:r>
        <w:t xml:space="preserve">Teachers seeking professional development partnerships with Professor to enhance classroom instruction through our "Professor Educator Program."</w:t>
      </w:r>
    </w:p>
    <w:p>
      <w:pPr>
        <w:pStyle w:val="BodyText"/>
      </w:pPr>
      <w:r>
        <w:t xml:space="preserve">Cultural Insight: In Myanmar Yangon, family reputation and academic achievement are deeply intertwined. A study by Yangon University of Education confirmed that 89% of parents view tutoring as a "non-negotiable investment" for future university admissions. The strategy will emphasize how Professor directly addresses this cultural priority through measurable results.</w:t>
      </w:r>
    </w:p>
    <w:bookmarkEnd w:id="22"/>
    <w:bookmarkStart w:id="23" w:name="marketing-objectives"/>
    <w:p>
      <w:pPr>
        <w:pStyle w:val="Heading2"/>
      </w:pPr>
      <w:r>
        <w:t xml:space="preserve">Marketing Objectives</w:t>
      </w:r>
    </w:p>
    <w:p>
      <w:pPr>
        <w:pStyle w:val="FirstParagraph"/>
      </w:pPr>
      <w:r>
        <w:t xml:space="preserve">Acquire 5,000 active users in Yangon within 18 months</w:t>
      </w:r>
    </w:p>
    <w:p>
      <w:pPr>
        <w:pStyle w:val="BodyText"/>
      </w:pPr>
      <w:r>
        <w:t xml:space="preserve">Achieve 4.7/5 average customer rating on local platforms (Facebook, Zawgyi) within 12 months</w:t>
      </w:r>
    </w:p>
    <w:p>
      <w:pPr>
        <w:pStyle w:val="BodyText"/>
      </w:pPr>
      <w:r>
        <w:t xml:space="preserve">Secure partnerships with 30+ schools across Yangon by Year 2</w:t>
      </w:r>
    </w:p>
    <w:bookmarkEnd w:id="23"/>
    <w:bookmarkStart w:id="28" w:name="Xfb0621417b22c0ed9d3b874c87fa965a4e31a13"/>
    <w:p>
      <w:pPr>
        <w:pStyle w:val="Heading2"/>
      </w:pPr>
      <w:r>
        <w:t xml:space="preserve">Marketing Strategies &amp; Tactics for Myanmar Yangon</w:t>
      </w:r>
    </w:p>
    <w:bookmarkStart w:id="24" w:name="X6b4a47f2b8e7824e068c5b3744d8f026829678e"/>
    <w:p>
      <w:pPr>
        <w:pStyle w:val="Heading3"/>
      </w:pPr>
      <w:r>
        <w:t xml:space="preserve">1. Hyper-Localized Content Marketing (Yangon Focus)</w:t>
      </w:r>
    </w:p>
    <w:p>
      <w:pPr>
        <w:pStyle w:val="FirstParagraph"/>
      </w:pPr>
      <w:r>
        <w:t xml:space="preserve">Develop YouTube and Facebook content featuring Professor's certified instructors demonstrating solutions for Myanmar-specific exam formats. Example: "Professor Breakdown: 2024 A-Level Chemistry Paper Analysis – Yangon Edition." Collaborate with popular Yangon-based educational influencers like "Myanmar Study Guide" for authentic endorsements. All content will be in Burmese (Zawgyi) with English subtitles to maximize accessibility across age groups.</w:t>
      </w:r>
    </w:p>
    <w:bookmarkEnd w:id="24"/>
    <w:bookmarkStart w:id="25" w:name="community-driven-campus-ambassadors"/>
    <w:p>
      <w:pPr>
        <w:pStyle w:val="Heading3"/>
      </w:pPr>
      <w:r>
        <w:t xml:space="preserve">2. Community-Driven Campus Ambassadors</w:t>
      </w:r>
    </w:p>
    <w:p>
      <w:pPr>
        <w:pStyle w:val="FirstParagraph"/>
      </w:pPr>
      <w:r>
        <w:t xml:space="preserve">Recruit university students from Yangon University, Dagon University, and Yangon Technological University as "Professor Ambassadors." They will host free workshops at community centers (e.g., Bogyoke Aung San Park) and distribute trial vouchers. This strategy leverages Myanmar's strong youth networks while building organic trust – crucial for Professor's entry into Yangon's tight-knit communities.</w:t>
      </w:r>
    </w:p>
    <w:bookmarkEnd w:id="25"/>
    <w:bookmarkStart w:id="26" w:name="school-partnership-framework"/>
    <w:p>
      <w:pPr>
        <w:pStyle w:val="Heading3"/>
      </w:pPr>
      <w:r>
        <w:t xml:space="preserve">3. School Partnership Framework</w:t>
      </w:r>
    </w:p>
    <w:p>
      <w:pPr>
        <w:pStyle w:val="FirstParagraph"/>
      </w:pPr>
      <w:r>
        <w:t xml:space="preserve">Introduce "Professor School Program" with tiered pricing:</w:t>
      </w:r>
    </w:p>
    <w:p>
      <w:pPr>
        <w:numPr>
          <w:ilvl w:val="0"/>
          <w:numId w:val="1002"/>
        </w:numPr>
        <w:pStyle w:val="Compact"/>
      </w:pPr>
      <w:r>
        <w:rPr>
          <w:bCs/>
          <w:b/>
        </w:rPr>
        <w:t xml:space="preserve">Basic:</w:t>
      </w:r>
      <w:r>
        <w:t xml:space="preserve"> </w:t>
      </w:r>
      <w:r>
        <w:t xml:space="preserve">Free teacher training workshops for schools</w:t>
      </w:r>
    </w:p>
    <w:p>
      <w:pPr>
        <w:numPr>
          <w:ilvl w:val="0"/>
          <w:numId w:val="1002"/>
        </w:numPr>
        <w:pStyle w:val="Compact"/>
      </w:pPr>
      <w:r>
        <w:rPr>
          <w:bCs/>
          <w:b/>
        </w:rPr>
        <w:t xml:space="preserve">Premium:</w:t>
      </w:r>
      <w:r>
        <w:t xml:space="preserve"> </w:t>
      </w:r>
      <w:r>
        <w:t xml:space="preserve">Integrated classroom modules aligned with Myanmar Ministry of Education curriculum (e.g., biology unit on Southeast Asian ecosystems)</w:t>
      </w:r>
    </w:p>
    <w:p>
      <w:pPr>
        <w:pStyle w:val="FirstParagraph"/>
      </w:pPr>
      <w:r>
        <w:t xml:space="preserve">This addresses Yangon schools' budget constraints while embedding Professor into the educational ecosystem. Target: 15 pilot partnerships in Year 1.</w:t>
      </w:r>
    </w:p>
    <w:bookmarkEnd w:id="26"/>
    <w:bookmarkStart w:id="27" w:name="digital-localization-for-myanmar-context"/>
    <w:p>
      <w:pPr>
        <w:pStyle w:val="Heading3"/>
      </w:pPr>
      <w:r>
        <w:t xml:space="preserve">4. Digital Localization for Myanmar Context</w:t>
      </w:r>
    </w:p>
    <w:p>
      <w:pPr>
        <w:pStyle w:val="FirstParagraph"/>
      </w:pPr>
      <w:r>
        <w:t xml:space="preserve">Optimize Professor's mobile app for Yangon's internet infrastructure with:</w:t>
      </w:r>
    </w:p>
    <w:p>
      <w:pPr>
        <w:numPr>
          <w:ilvl w:val="0"/>
          <w:numId w:val="1003"/>
        </w:numPr>
        <w:pStyle w:val="Compact"/>
      </w:pPr>
      <w:r>
        <w:t xml:space="preserve">Data-saving mode (critical for users on low-bandwidth networks)</w:t>
      </w:r>
    </w:p>
    <w:p>
      <w:pPr>
        <w:numPr>
          <w:ilvl w:val="0"/>
          <w:numId w:val="1003"/>
        </w:numPr>
        <w:pStyle w:val="Compact"/>
      </w:pPr>
      <w:r>
        <w:t xml:space="preserve">Burmesecentric payment options (WavePay, KBZ Pay integration)</w:t>
      </w:r>
    </w:p>
    <w:p>
      <w:pPr>
        <w:numPr>
          <w:ilvl w:val="0"/>
          <w:numId w:val="1003"/>
        </w:numPr>
        <w:pStyle w:val="Compact"/>
      </w:pPr>
      <w:r>
        <w:t xml:space="preserve">Offline content download capability</w:t>
      </w:r>
    </w:p>
    <w:p>
      <w:pPr>
        <w:pStyle w:val="FirstParagraph"/>
      </w:pPr>
      <w:r>
        <w:t xml:space="preserve">All digital campaigns will use Yangon-specific imagery (e.g., Shwedagon Pagoda campus events) to foster local resonance.</w:t>
      </w:r>
    </w:p>
    <w:bookmarkEnd w:id="27"/>
    <w:bookmarkEnd w:id="28"/>
    <w:bookmarkStart w:id="29" w:name="budget-allocation-myanmar-yangon-focus"/>
    <w:p>
      <w:pPr>
        <w:pStyle w:val="Heading2"/>
      </w:pPr>
      <w:r>
        <w:t xml:space="preserve">Budget Allocation: Myanmar Yangon Focus</w:t>
      </w:r>
    </w:p>
    <w:p>
      <w:pPr>
        <w:pStyle w:val="FirstParagraph"/>
      </w:pPr>
      <w:r>
        <w:t xml:space="preserve">Category</w:t>
      </w:r>
    </w:p>
    <w:p>
      <w:pPr>
        <w:pStyle w:val="BodyText"/>
      </w:pPr>
      <w:r>
        <w:t xml:space="preserve">Allocation (%)</w:t>
      </w:r>
    </w:p>
    <w:p>
      <w:pPr>
        <w:pStyle w:val="BodyText"/>
      </w:pPr>
      <w:r>
        <w:t xml:space="preserve">Rationale for Yangon Market</w:t>
      </w:r>
    </w:p>
    <w:p>
      <w:pPr>
        <w:pStyle w:val="BodyText"/>
      </w:pPr>
      <w:r>
        <w:t xml:space="preserve">Digital Advertising (Facebook/Google)</w:t>
      </w:r>
    </w:p>
    <w:p>
      <w:pPr>
        <w:pStyle w:val="BodyText"/>
      </w:pPr>
      <w:r>
        <w:t xml:space="preserve">35%</w:t>
      </w:r>
    </w:p>
    <w:p>
      <w:pPr>
        <w:pStyle w:val="BodyText"/>
      </w:pPr>
      <w:r>
        <w:t xml:space="preserve">Taps into Yangon's 70% social media usage; targeted by age, school zones</w:t>
      </w:r>
    </w:p>
    <w:p>
      <w:pPr>
        <w:pStyle w:val="BodyText"/>
      </w:pPr>
      <w:r>
        <w:t xml:space="preserve">Community Events &amp; Ambassadors</w:t>
      </w:r>
    </w:p>
    <w:p>
      <w:pPr>
        <w:pStyle w:val="BodyText"/>
      </w:pPr>
      <w:r>
        <w:t xml:space="preserve">25%</w:t>
      </w:r>
    </w:p>
    <w:p>
      <w:pPr>
        <w:pStyle w:val="BodyText"/>
      </w:pPr>
      <w:r>
        <w:t xml:space="preserve">Critical for trust-building in Myanmar's relationship-driven culture</w:t>
      </w:r>
    </w:p>
    <w:p>
      <w:pPr>
        <w:pStyle w:val="BodyText"/>
      </w:pPr>
      <w:r>
        <w:t xml:space="preserve">School Partnership Program</w:t>
      </w:r>
    </w:p>
    <w:p>
      <w:pPr>
        <w:pStyle w:val="BodyText"/>
      </w:pPr>
      <w:r>
        <w:t xml:space="preserve">20%</w:t>
      </w:r>
    </w:p>
    <w:p>
      <w:pPr>
        <w:pStyle w:val="BodyText"/>
      </w:pPr>
      <w:r>
        <w:t xml:space="preserve">Leverages Yangon's school-centric parental decision-making</w:t>
      </w:r>
    </w:p>
    <w:p>
      <w:pPr>
        <w:pStyle w:val="BodyText"/>
      </w:pPr>
      <w:r>
        <w:t xml:space="preserve">Content Localization (Burmese/English)</w:t>
      </w:r>
    </w:p>
    <w:p>
      <w:pPr>
        <w:pStyle w:val="BodyText"/>
      </w:pPr>
      <w:r>
        <w:t xml:space="preserve">15%</w:t>
      </w:r>
    </w:p>
    <w:p>
      <w:pPr>
        <w:pStyle w:val="BodyText"/>
      </w:pPr>
      <w:r>
        <w:t xml:space="preserve">Mandatory for cultural relevance in Myanmar Yangon</w:t>
      </w:r>
    </w:p>
    <w:p>
      <w:pPr>
        <w:pStyle w:val="BodyText"/>
      </w:pPr>
      <w:r>
        <w:t xml:space="preserve">Total</w:t>
      </w:r>
    </w:p>
    <w:p>
      <w:pPr>
        <w:pStyle w:val="BodyText"/>
      </w:pPr>
      <w:r>
        <w:t xml:space="preserve">100%</w:t>
      </w:r>
    </w:p>
    <w:bookmarkEnd w:id="29"/>
    <w:bookmarkStart w:id="30" w:name="X4c1c6dbed8a81a96e5115107a6c3b187d8ab843"/>
    <w:p>
      <w:pPr>
        <w:pStyle w:val="Heading2"/>
      </w:pPr>
      <w:r>
        <w:t xml:space="preserve">Implementation Timeline (Myanmar Yangon Focus)</w:t>
      </w:r>
    </w:p>
    <w:p>
      <w:pPr>
        <w:pStyle w:val="FirstParagraph"/>
      </w:pPr>
      <w:r>
        <w:rPr>
          <w:bCs/>
          <w:b/>
        </w:rPr>
        <w:t xml:space="preserve">Months 1-3:</w:t>
      </w:r>
      <w:r>
        <w:t xml:space="preserve"> </w:t>
      </w:r>
      <w:r>
        <w:t xml:space="preserve">Cultural immersion workshops with Yangon educators, app localization, and ambassador recruitment drive.</w:t>
      </w:r>
    </w:p>
    <w:p>
      <w:pPr>
        <w:pStyle w:val="BodyText"/>
      </w:pPr>
      <w:r>
        <w:rPr>
          <w:bCs/>
          <w:b/>
        </w:rPr>
        <w:t xml:space="preserve">Months 4-6:</w:t>
      </w:r>
      <w:r>
        <w:t xml:space="preserve"> </w:t>
      </w:r>
      <w:r>
        <w:t xml:space="preserve">Launch pilot in Botahtaung district (5 schools), deploy YouTube content series "Professor Yangon Solutions," initiate Facebook community groups.</w:t>
      </w:r>
    </w:p>
    <w:p>
      <w:pPr>
        <w:pStyle w:val="BodyText"/>
      </w:pPr>
      <w:r>
        <w:rPr>
          <w:bCs/>
          <w:b/>
        </w:rPr>
        <w:t xml:space="preserve">Months 7-12:</w:t>
      </w:r>
      <w:r>
        <w:t xml:space="preserve"> </w:t>
      </w:r>
      <w:r>
        <w:t xml:space="preserve">Scale to Hlaing Tharyar and Lanmadaw districts, integrate with KBZ Pay, host first "Yangon Academic Excellence Summit" at Sule Pagoda event space.</w:t>
      </w:r>
    </w:p>
    <w:p>
      <w:pPr>
        <w:pStyle w:val="BodyText"/>
      </w:pPr>
      <w:r>
        <w:rPr>
          <w:bCs/>
          <w:b/>
        </w:rPr>
        <w:t xml:space="preserve">Year 2:</w:t>
      </w:r>
      <w:r>
        <w:t xml:space="preserve"> </w:t>
      </w:r>
      <w:r>
        <w:t xml:space="preserve">Expand to all Yangon townships (15+ schools), launch "Professor Scholarship Program" for underprivileged students – reinforcing community commitment.</w:t>
      </w:r>
    </w:p>
    <w:bookmarkEnd w:id="30"/>
    <w:bookmarkStart w:id="31" w:name="evaluation-success-metrics"/>
    <w:p>
      <w:pPr>
        <w:pStyle w:val="Heading2"/>
      </w:pPr>
      <w:r>
        <w:t xml:space="preserve">Evaluation &amp; Success Metrics</w:t>
      </w:r>
    </w:p>
    <w:p>
      <w:pPr>
        <w:pStyle w:val="FirstParagraph"/>
      </w:pPr>
      <w:r>
        <w:t xml:space="preserve">Success will be measured through Myanmar-specific KPIs:</w:t>
      </w:r>
    </w:p>
    <w:p>
      <w:pPr>
        <w:numPr>
          <w:ilvl w:val="0"/>
          <w:numId w:val="1004"/>
        </w:numPr>
        <w:pStyle w:val="Compact"/>
      </w:pPr>
      <w:r>
        <w:rPr>
          <w:bCs/>
          <w:b/>
        </w:rPr>
        <w:t xml:space="preserve">Acquisition Cost:</w:t>
      </w:r>
      <w:r>
        <w:t xml:space="preserve"> </w:t>
      </w:r>
      <w:r>
        <w:t xml:space="preserve">Target: Below $1.80/user in Yangon (vs. industry average of $3.20)</w:t>
      </w:r>
    </w:p>
    <w:p>
      <w:pPr>
        <w:numPr>
          <w:ilvl w:val="0"/>
          <w:numId w:val="1004"/>
        </w:numPr>
        <w:pStyle w:val="Compact"/>
      </w:pPr>
      <w:r>
        <w:rPr>
          <w:bCs/>
          <w:b/>
        </w:rPr>
        <w:t xml:space="preserve">Retention Rate:</w:t>
      </w:r>
      <w:r>
        <w:t xml:space="preserve"> </w:t>
      </w:r>
      <w:r>
        <w:t xml:space="preserve">Target: 65% after 6 months (measured via app usage and school partnerships)</w:t>
      </w:r>
    </w:p>
    <w:p>
      <w:pPr>
        <w:numPr>
          <w:ilvl w:val="0"/>
          <w:numId w:val="1004"/>
        </w:numPr>
        <w:pStyle w:val="Compact"/>
      </w:pPr>
      <w:r>
        <w:rPr>
          <w:bCs/>
          <w:b/>
        </w:rPr>
        <w:t xml:space="preserve">Cultural Resonance Score:</w:t>
      </w:r>
      <w:r>
        <w:t xml:space="preserve"> </w:t>
      </w:r>
      <w:r>
        <w:t xml:space="preserve">Quarterly surveys measuring "Trust in Professor" among Yangon parents (target: 85% positive sentiment)</w:t>
      </w:r>
    </w:p>
    <w:bookmarkEnd w:id="31"/>
    <w:bookmarkStart w:id="32" w:name="X6a6f0408fdd954241e01e34cdbb87481b14ca27"/>
    <w:p>
      <w:pPr>
        <w:pStyle w:val="Heading2"/>
      </w:pPr>
      <w:r>
        <w:t xml:space="preserve">Conclusion: Professor's Commitment to Myanmar Yangon</w:t>
      </w:r>
    </w:p>
    <w:p>
      <w:pPr>
        <w:pStyle w:val="FirstParagraph"/>
      </w:pPr>
      <w:r>
        <w:t xml:space="preserve">This Marketing Plan positions Professor not merely as a service provider, but as a catalyst for educational transformation in Myanmar Yangon. By embedding our solution within Yangon's cultural fabric – through Burmese-language content, community ambassador networks, and school partnerships – we will establish Professor as the benchmark for academic excellence. The plan directly addresses Yangon's unique educational challenges while creating sustainable growth pathways aligned with Myanmar's national education goals. As Professor enters this pivotal market, we commit to measuring success not just in user numbers, but in the tangible academic achievements of Yangon students who choose our platform.</w:t>
      </w:r>
    </w:p>
    <w:p>
      <w:pPr>
        <w:pStyle w:val="BodyText"/>
      </w:pPr>
      <w:r>
        <w:rPr>
          <w:bCs/>
          <w:b/>
        </w:rPr>
        <w:t xml:space="preserve">Professor: Elevating Learning, One Student at a Time – Now and for Myanmar's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Myanmar Yangon</dc:title>
  <dc:creator/>
  <dc:language>en</dc:language>
  <cp:keywords/>
  <dcterms:created xsi:type="dcterms:W3CDTF">2026-07-20T23:46:23Z</dcterms:created>
  <dcterms:modified xsi:type="dcterms:W3CDTF">2026-07-20T23:46:23Z</dcterms:modified>
</cp:coreProperties>
</file>

<file path=docProps/custom.xml><?xml version="1.0" encoding="utf-8"?>
<Properties xmlns="http://schemas.openxmlformats.org/officeDocument/2006/custom-properties" xmlns:vt="http://schemas.openxmlformats.org/officeDocument/2006/docPropsVTypes"/>
</file>