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New</w:t>
      </w:r>
      <w:r>
        <w:t xml:space="preserve"> </w:t>
      </w:r>
      <w:r>
        <w:t xml:space="preserve">Zealand</w:t>
      </w:r>
      <w:r>
        <w:t xml:space="preserve"> </w:t>
      </w:r>
      <w:r>
        <w:t xml:space="preserve">Auckland</w:t>
      </w:r>
      <w:r>
        <w:t xml:space="preserve"> </w:t>
      </w:r>
      <w:r>
        <w:t xml:space="preserve">Strategy</w:t>
      </w:r>
    </w:p>
    <w:bookmarkStart w:id="29" w:name="Xdc3d098772a4e5c70def5114f75f091b23a8bb0"/>
    <w:p>
      <w:pPr>
        <w:pStyle w:val="Heading1"/>
      </w:pPr>
      <w:r>
        <w:t xml:space="preserve">Comprehensive Marketing Plan for Professor: Targeting New Zealand Auckland Market</w:t>
      </w:r>
    </w:p>
    <w:bookmarkStart w:id="20" w:name="executive-summary"/>
    <w:p>
      <w:pPr>
        <w:pStyle w:val="Heading2"/>
      </w:pPr>
      <w:r>
        <w:t xml:space="preserve">Executive Summary</w:t>
      </w:r>
    </w:p>
    <w:p>
      <w:pPr>
        <w:pStyle w:val="FirstParagraph"/>
      </w:pPr>
      <w:r>
        <w:t xml:space="preserve">This Marketing Plan outlines the strategic approach for launching and scaling "Professor," an innovative AI-powered academic tutoring platform, in New Zealand's premier city, Auckland. With over 1.6 million residents and a highly educated population, Auckland represents the optimal launch market for Professor to establish dominance in tertiary education support services. This plan details market positioning, audience targeting, digital strategies, and performance metrics specifically tailored for New Zealand's educational landscape. The primary objective is to achieve 25% brand recognition among Auckland university students within 18 months while capturing 15% of the paid tutoring market by Year 2.</w:t>
      </w:r>
    </w:p>
    <w:bookmarkEnd w:id="20"/>
    <w:bookmarkStart w:id="21" w:name="Xaa1aca43d824eb317220ed440c03edd4c15fcd5"/>
    <w:p>
      <w:pPr>
        <w:pStyle w:val="Heading2"/>
      </w:pPr>
      <w:r>
        <w:t xml:space="preserve">Market Analysis: Professor in New Zealand Auckland Context</w:t>
      </w:r>
    </w:p>
    <w:p>
      <w:pPr>
        <w:pStyle w:val="FirstParagraph"/>
      </w:pPr>
      <w:r>
        <w:t xml:space="preserve">Auckland's educational ecosystem presents unique opportunities for Professor. As New Zealand's largest city and home to the University of Auckland (ranked #1 in NZ), AUT, and other tertiary institutions, it hosts over 90,000 students annually. Current market gaps include: (1) Overwhelming student-to-tutor ratios in traditional services; (2) Limited culturally responsive academic support for Māori and Pasifika students; (3) High demand for flexible digital tutoring during Auckland's busy academic terms. Research indicates 78% of Auckland tertiary students struggle with time management, creating an ideal market for Professor's AI-driven personalized study plans. Competitors like TutorHub operate without New Zealand-specific curriculum alignment, giving Professor a strategic advantage through its NZ-focused content developed with local educators.</w:t>
      </w:r>
    </w:p>
    <w:bookmarkEnd w:id="21"/>
    <w:bookmarkStart w:id="22" w:name="target-audience-segmentation"/>
    <w:p>
      <w:pPr>
        <w:pStyle w:val="Heading2"/>
      </w:pPr>
      <w:r>
        <w:t xml:space="preserve">Target Audience Segmentation</w:t>
      </w:r>
    </w:p>
    <w:p>
      <w:pPr>
        <w:pStyle w:val="FirstParagraph"/>
      </w:pPr>
      <w:r>
        <w:t xml:space="preserve">Professor's primary audience in New Zealand Auckland comprises:</w:t>
      </w:r>
    </w:p>
    <w:p>
      <w:pPr>
        <w:numPr>
          <w:ilvl w:val="0"/>
          <w:numId w:val="1001"/>
        </w:numPr>
        <w:pStyle w:val="Compact"/>
      </w:pPr>
      <w:r>
        <w:rPr>
          <w:bCs/>
          <w:b/>
        </w:rPr>
        <w:t xml:space="preserve">Tertiary Students (70% of target):</w:t>
      </w:r>
      <w:r>
        <w:t xml:space="preserve"> </w:t>
      </w:r>
      <w:r>
        <w:t xml:space="preserve">Undergraduates at University of Auckland, AUT, and Otago (Auckland campuses) seeking subject-specific tutoring in STEM, business, and health sciences. Prioritizing culturally inclusive support for Māori/Pasifika learners.</w:t>
      </w:r>
    </w:p>
    <w:p>
      <w:pPr>
        <w:numPr>
          <w:ilvl w:val="0"/>
          <w:numId w:val="1001"/>
        </w:numPr>
        <w:pStyle w:val="Compact"/>
      </w:pPr>
      <w:r>
        <w:rPr>
          <w:bCs/>
          <w:b/>
        </w:rPr>
        <w:t xml:space="preserve">Parents &amp; Guardians (20%):</w:t>
      </w:r>
      <w:r>
        <w:t xml:space="preserve"> </w:t>
      </w:r>
      <w:r>
        <w:t xml:space="preserve">Middle-to-upper-income Auckland households with children in secondary school or university, concerned about academic performance during NZ's high-stress exam periods.</w:t>
      </w:r>
    </w:p>
    <w:p>
      <w:pPr>
        <w:numPr>
          <w:ilvl w:val="0"/>
          <w:numId w:val="1001"/>
        </w:numPr>
        <w:pStyle w:val="Compact"/>
      </w:pPr>
      <w:r>
        <w:rPr>
          <w:bCs/>
          <w:b/>
        </w:rPr>
        <w:t xml:space="preserve">Institutional Partners (10%):</w:t>
      </w:r>
      <w:r>
        <w:t xml:space="preserve"> </w:t>
      </w:r>
      <w:r>
        <w:t xml:space="preserve">Universities and colleges seeking supplemental academic support services to reduce dropout rates.</w:t>
      </w:r>
    </w:p>
    <w:bookmarkEnd w:id="22"/>
    <w:bookmarkStart w:id="23" w:name="Xd30e105bd41f2e7c53973c4fc1742defeef4d3a"/>
    <w:p>
      <w:pPr>
        <w:pStyle w:val="Heading2"/>
      </w:pPr>
      <w:r>
        <w:t xml:space="preserve">Marketing Objectives &amp; Key Performance Indicators</w:t>
      </w:r>
    </w:p>
    <w:p>
      <w:pPr>
        <w:pStyle w:val="FirstParagraph"/>
      </w:pPr>
      <w:r>
        <w:t xml:space="preserve">Over the next 18 months, Professor will achieve:</w:t>
      </w:r>
    </w:p>
    <w:p>
      <w:pPr>
        <w:numPr>
          <w:ilvl w:val="0"/>
          <w:numId w:val="1002"/>
        </w:numPr>
        <w:pStyle w:val="Compact"/>
      </w:pPr>
      <w:r>
        <w:rPr>
          <w:bCs/>
          <w:b/>
        </w:rPr>
        <w:t xml:space="preserve">Awareness:</w:t>
      </w:r>
      <w:r>
        <w:t xml:space="preserve"> </w:t>
      </w:r>
      <w:r>
        <w:t xml:space="preserve">Reach 50,000 Auckland students via digital campaigns (45% of target audience) by Month 12.</w:t>
      </w:r>
    </w:p>
    <w:p>
      <w:pPr>
        <w:numPr>
          <w:ilvl w:val="0"/>
          <w:numId w:val="1002"/>
        </w:numPr>
        <w:pStyle w:val="Compact"/>
      </w:pPr>
      <w:r>
        <w:rPr>
          <w:bCs/>
          <w:b/>
        </w:rPr>
        <w:t xml:space="preserve">Conversion:</w:t>
      </w:r>
      <w:r>
        <w:t xml:space="preserve"> </w:t>
      </w:r>
      <w:r>
        <w:t xml:space="preserve">Acquire 8,500 paid users in New Zealand Auckland with a CAC of NZD $28.75.</w:t>
      </w:r>
    </w:p>
    <w:p>
      <w:pPr>
        <w:numPr>
          <w:ilvl w:val="0"/>
          <w:numId w:val="1002"/>
        </w:numPr>
        <w:pStyle w:val="Compact"/>
      </w:pPr>
      <w:r>
        <w:rPr>
          <w:bCs/>
          <w:b/>
        </w:rPr>
        <w:t xml:space="preserve">Loyalty:</w:t>
      </w:r>
      <w:r>
        <w:t xml:space="preserve"> </w:t>
      </w:r>
      <w:r>
        <w:t xml:space="preserve">Achieve 4.5/5 average rating in Auckland-specific user reviews and 35% referral rate from satisfied students.</w:t>
      </w:r>
    </w:p>
    <w:p>
      <w:pPr>
        <w:numPr>
          <w:ilvl w:val="0"/>
          <w:numId w:val="1002"/>
        </w:numPr>
        <w:pStyle w:val="Compact"/>
      </w:pPr>
      <w:r>
        <w:rPr>
          <w:bCs/>
          <w:b/>
        </w:rPr>
        <w:t xml:space="preserve">Brand Positioning:</w:t>
      </w:r>
      <w:r>
        <w:t xml:space="preserve"> </w:t>
      </w:r>
      <w:r>
        <w:t xml:space="preserve">Become synonymous with "culturally responsive academic support" in New Zealand's education sector.</w:t>
      </w:r>
    </w:p>
    <w:bookmarkEnd w:id="23"/>
    <w:bookmarkStart w:id="24" w:name="X6f087fbb1b44dd37297ebe2b7dbc1d688688a4d"/>
    <w:p>
      <w:pPr>
        <w:pStyle w:val="Heading2"/>
      </w:pPr>
      <w:r>
        <w:t xml:space="preserve">Strategic Marketing Tactics for New Zealand Auckland</w:t>
      </w:r>
    </w:p>
    <w:p>
      <w:pPr>
        <w:pStyle w:val="FirstParagraph"/>
      </w:pPr>
      <w:r>
        <w:rPr>
          <w:bCs/>
          <w:b/>
        </w:rPr>
        <w:t xml:space="preserve">Digital-First Localization:</w:t>
      </w:r>
      <w:r>
        <w:t xml:space="preserve"> </w:t>
      </w:r>
      <w:r>
        <w:t xml:space="preserve">Professor will deploy hyper-localized campaigns using Auckland-specific terminology ("Auckland Uni," "Parnell study spots," "Manukau student hub"). Our website features NZ currency, local time zones, and Māori language options. Social media strategy focuses on Instagram and TikTok—platforms where 82% of Auckland students engage—with content featuring real Auckland students from diverse backgrounds.</w:t>
      </w:r>
    </w:p>
    <w:p>
      <w:pPr>
        <w:pStyle w:val="BodyText"/>
      </w:pPr>
      <w:r>
        <w:rPr>
          <w:bCs/>
          <w:b/>
        </w:rPr>
        <w:t xml:space="preserve">Partnerships with Local Institutions:</w:t>
      </w:r>
      <w:r>
        <w:t xml:space="preserve"> </w:t>
      </w:r>
      <w:r>
        <w:t xml:space="preserve">Strategic alliances with the University of Auckland's Student Association and AUT's Māori Student Support Programme will provide credibility. Professor will sponsor campus events like "Auckland Academic Success Week" and offer free trial sessions at Waitematā Library branches, integrating seamlessly into New Zealand's community learning ecosystem.</w:t>
      </w:r>
    </w:p>
    <w:p>
      <w:pPr>
        <w:pStyle w:val="BodyText"/>
      </w:pPr>
      <w:r>
        <w:rPr>
          <w:bCs/>
          <w:b/>
        </w:rPr>
        <w:t xml:space="preserve">Cultural Responsiveness Integration:</w:t>
      </w:r>
      <w:r>
        <w:t xml:space="preserve"> </w:t>
      </w:r>
      <w:r>
        <w:t xml:space="preserve">Unlike generic competitors, Professor's content aligns with NZ Curriculum guidelines. Our platform includes Māori knowledge frameworks (e.g., "Whakapapa" study techniques) developed with Ngā Pūrerehukura educators. This cultural nuance is central to our marketing messaging: "Professor: Study the Auckland Way."</w:t>
      </w:r>
    </w:p>
    <w:p>
      <w:pPr>
        <w:pStyle w:val="BodyText"/>
      </w:pPr>
      <w:r>
        <w:rPr>
          <w:bCs/>
          <w:b/>
        </w:rPr>
        <w:t xml:space="preserve">Community-Driven Referral Program:</w:t>
      </w:r>
      <w:r>
        <w:t xml:space="preserve"> </w:t>
      </w:r>
      <w:r>
        <w:t xml:space="preserve">Launching a "Auckland Student Ambassador" program where current users earn NZD $15 for every successful referral (validating through university email), leveraging New Zealand's tight-knit student communities. This builds organic reach within Auckland's campus networks.</w:t>
      </w:r>
    </w:p>
    <w:bookmarkEnd w:id="24"/>
    <w:bookmarkStart w:id="25" w:name="budget-allocation-resource-deployment"/>
    <w:p>
      <w:pPr>
        <w:pStyle w:val="Heading2"/>
      </w:pPr>
      <w:r>
        <w:t xml:space="preserve">Budget Allocation &amp; Resource Deployment</w:t>
      </w:r>
    </w:p>
    <w:p>
      <w:pPr>
        <w:pStyle w:val="FirstParagraph"/>
      </w:pPr>
      <w:r>
        <w:t xml:space="preserve">Total initial budget: NZD $385,000 (allocated for 18 months). Breakdown:</w:t>
      </w:r>
    </w:p>
    <w:p>
      <w:pPr>
        <w:numPr>
          <w:ilvl w:val="0"/>
          <w:numId w:val="1003"/>
        </w:numPr>
        <w:pStyle w:val="Compact"/>
      </w:pPr>
      <w:r>
        <w:rPr>
          <w:bCs/>
          <w:b/>
        </w:rPr>
        <w:t xml:space="preserve">Digital Advertising (45%):</w:t>
      </w:r>
      <w:r>
        <w:t xml:space="preserve"> </w:t>
      </w:r>
      <w:r>
        <w:t xml:space="preserve">$173,250 targeting Auckland via Google Ads (using location-specific keywords like "tutoring Auckland university"), Facebook/Instagram geotargeting, and NZ education influencers.</w:t>
      </w:r>
    </w:p>
    <w:p>
      <w:pPr>
        <w:numPr>
          <w:ilvl w:val="0"/>
          <w:numId w:val="1003"/>
        </w:numPr>
        <w:pStyle w:val="Compact"/>
      </w:pPr>
      <w:r>
        <w:rPr>
          <w:bCs/>
          <w:b/>
        </w:rPr>
        <w:t xml:space="preserve">Partnership Development (30%):</w:t>
      </w:r>
      <w:r>
        <w:t xml:space="preserve"> </w:t>
      </w:r>
      <w:r>
        <w:t xml:space="preserve">$115,500 for campus events, institutional partnerships, and cultural consultation with Māori educational leaders.</w:t>
      </w:r>
    </w:p>
    <w:p>
      <w:pPr>
        <w:numPr>
          <w:ilvl w:val="0"/>
          <w:numId w:val="1003"/>
        </w:numPr>
        <w:pStyle w:val="Compact"/>
      </w:pPr>
      <w:r>
        <w:rPr>
          <w:bCs/>
          <w:b/>
        </w:rPr>
        <w:t xml:space="preserve">Campaign Content (15%):</w:t>
      </w:r>
      <w:r>
        <w:t xml:space="preserve"> </w:t>
      </w:r>
      <w:r>
        <w:t xml:space="preserve">$57,750 for video production featuring Auckland student testimonials in local settings (e.g., Devonport beaches during study breaks).</w:t>
      </w:r>
    </w:p>
    <w:p>
      <w:pPr>
        <w:numPr>
          <w:ilvl w:val="0"/>
          <w:numId w:val="1003"/>
        </w:numPr>
        <w:pStyle w:val="Compact"/>
      </w:pPr>
      <w:r>
        <w:rPr>
          <w:bCs/>
          <w:b/>
        </w:rPr>
        <w:t xml:space="preserve">Analytics &amp; Optimization (10%):</w:t>
      </w:r>
      <w:r>
        <w:t xml:space="preserve"> </w:t>
      </w:r>
      <w:r>
        <w:t xml:space="preserve">$38,500 for real-time tracking of NZ-specific KPIs via Google Analytics 4 and local market sentiment analysis.</w:t>
      </w:r>
    </w:p>
    <w:bookmarkEnd w:id="25"/>
    <w:bookmarkStart w:id="26" w:name="X4a57cbb2e834497dc9ed4800b398ebd10322b26"/>
    <w:p>
      <w:pPr>
        <w:pStyle w:val="Heading2"/>
      </w:pPr>
      <w:r>
        <w:t xml:space="preserve">Implementation Timeline: Auckland Launch Phase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New Zealand Auckland</w:t>
            </w:r>
          </w:p>
        </w:tc>
      </w:tr>
      <w:tr>
        <w:tc>
          <w:tcPr/>
          <w:p>
            <w:pPr>
              <w:pStyle w:val="Compact"/>
              <w:jc w:val="left"/>
            </w:pPr>
            <w:r>
              <w:t xml:space="preserve">Q1 (Month 1-3)</w:t>
            </w:r>
          </w:p>
        </w:tc>
        <w:tc>
          <w:tcPr/>
          <w:p>
            <w:pPr>
              <w:pStyle w:val="Compact"/>
              <w:jc w:val="left"/>
            </w:pPr>
            <w:r>
              <w:t xml:space="preserve">Campaign soft launch with University of Auckland student focus groups; deploy NZ-focused website and Māori language support; initiate campus ambassador sign-ups.</w:t>
            </w:r>
          </w:p>
        </w:tc>
      </w:tr>
      <w:tr>
        <w:tc>
          <w:tcPr/>
          <w:p>
            <w:pPr>
              <w:pStyle w:val="Compact"/>
              <w:jc w:val="left"/>
            </w:pPr>
            <w:r>
              <w:t xml:space="preserve">Q2 (Month 4-6)</w:t>
            </w:r>
          </w:p>
        </w:tc>
        <w:tc>
          <w:tcPr/>
          <w:p>
            <w:pPr>
              <w:pStyle w:val="Compact"/>
              <w:jc w:val="left"/>
            </w:pPr>
            <w:r>
              <w:t xml:space="preserve">Full digital campaign rollout targeting Auckland via TikTok challenges (#StudyInAuckland); partner with AUT for "Academic Wellness Week" events; secure first institutional contract.</w:t>
            </w:r>
          </w:p>
        </w:tc>
      </w:tr>
      <w:tr>
        <w:tc>
          <w:tcPr/>
          <w:p>
            <w:pPr>
              <w:pStyle w:val="Compact"/>
              <w:jc w:val="left"/>
            </w:pPr>
            <w:r>
              <w:t xml:space="preserve">Q3 (Month 7-9)</w:t>
            </w:r>
          </w:p>
        </w:tc>
        <w:tc>
          <w:tcPr/>
          <w:p>
            <w:pPr>
              <w:pStyle w:val="Compact"/>
              <w:jc w:val="left"/>
            </w:pPr>
            <w:r>
              <w:t xml:space="preserve">Leverage NZ exam season demand with "Auckland Final Term Support" campaign; launch referral program; gather user testimonials from diverse Auckland communities.</w:t>
            </w:r>
          </w:p>
        </w:tc>
      </w:tr>
      <w:tr>
        <w:tc>
          <w:tcPr/>
          <w:p>
            <w:pPr>
              <w:pStyle w:val="Compact"/>
              <w:jc w:val="left"/>
            </w:pPr>
            <w:r>
              <w:t xml:space="preserve">Q4 (Month 10-12)</w:t>
            </w:r>
          </w:p>
        </w:tc>
        <w:tc>
          <w:tcPr/>
          <w:p>
            <w:pPr>
              <w:pStyle w:val="Compact"/>
              <w:jc w:val="left"/>
            </w:pPr>
            <w:r>
              <w:t xml:space="preserve">Analyze Year 1 metrics for NZ market; refine strategies based on Auckland student feedback; plan expansion to Wellington and Christchurch using Auckland learnings.</w:t>
            </w:r>
          </w:p>
        </w:tc>
      </w:tr>
    </w:tbl>
    <w:bookmarkEnd w:id="26"/>
    <w:bookmarkStart w:id="27" w:name="measurement-evaluation"/>
    <w:p>
      <w:pPr>
        <w:pStyle w:val="Heading2"/>
      </w:pPr>
      <w:r>
        <w:t xml:space="preserve">Measurement &amp; Evaluation</w:t>
      </w:r>
    </w:p>
    <w:p>
      <w:pPr>
        <w:pStyle w:val="FirstParagraph"/>
      </w:pPr>
      <w:r>
        <w:t xml:space="preserve">Professor will track performance through NZ-specific metrics:</w:t>
      </w:r>
      <w:r>
        <w:t xml:space="preserve"> </w:t>
      </w:r>
      <w:r>
        <w:t xml:space="preserve">-</w:t>
      </w:r>
      <w:r>
        <w:t xml:space="preserve"> </w:t>
      </w:r>
      <w:r>
        <w:rPr>
          <w:bCs/>
          <w:b/>
        </w:rPr>
        <w:t xml:space="preserve">Auckland Student Acquisition Rate:</w:t>
      </w:r>
      <w:r>
        <w:t xml:space="preserve"> </w:t>
      </w:r>
      <w:r>
        <w:t xml:space="preserve">Measured via university email verification (e.g., "auckland.ac.nz" domains).</w:t>
      </w:r>
      <w:r>
        <w:t xml:space="preserve"> </w:t>
      </w:r>
      <w:r>
        <w:t xml:space="preserve">-</w:t>
      </w:r>
      <w:r>
        <w:t xml:space="preserve"> </w:t>
      </w:r>
      <w:r>
        <w:rPr>
          <w:bCs/>
          <w:b/>
        </w:rPr>
        <w:t xml:space="preserve">Cultural Relevance Score:</w:t>
      </w:r>
      <w:r>
        <w:t xml:space="preserve"> </w:t>
      </w:r>
      <w:r>
        <w:t xml:space="preserve">Quantified through student surveys asking, "Did this service feel relevant to my New Zealand learning context?"</w:t>
      </w:r>
      <w:r>
        <w:t xml:space="preserve"> </w:t>
      </w:r>
      <w:r>
        <w:t xml:space="preserve">-</w:t>
      </w:r>
      <w:r>
        <w:t xml:space="preserve"> </w:t>
      </w:r>
      <w:r>
        <w:rPr>
          <w:bCs/>
          <w:b/>
        </w:rPr>
        <w:t xml:space="preserve">Local Partnership ROI:</w:t>
      </w:r>
      <w:r>
        <w:t xml:space="preserve"> </w:t>
      </w:r>
      <w:r>
        <w:t xml:space="preserve">Calculated by tracking referral conversions from university events.</w:t>
      </w:r>
      <w:r>
        <w:t xml:space="preserve"> </w:t>
      </w:r>
      <w:r>
        <w:t xml:space="preserve">Monthly reports will be shared with NZ stakeholders, emphasizing Auckland's unique contribution to Professor's growth. All data will inform adjustments to better serve New Zealand's educational needs.</w:t>
      </w:r>
    </w:p>
    <w:bookmarkEnd w:id="27"/>
    <w:bookmarkStart w:id="28" w:name="Xc6ec665cde59874ced8bc5bc3ea7a72339a40c5"/>
    <w:p>
      <w:pPr>
        <w:pStyle w:val="Heading2"/>
      </w:pPr>
      <w:r>
        <w:t xml:space="preserve">Conclusion: Professor as Auckland’s Educational Ally</w:t>
      </w:r>
    </w:p>
    <w:p>
      <w:pPr>
        <w:pStyle w:val="FirstParagraph"/>
      </w:pPr>
      <w:r>
        <w:t xml:space="preserve">This Marketing Plan positions Professor not merely as a tutoring service but as an indispensable partner in New Zealand Auckland’s academic success journey. By embedding cultural intelligence, hyper-local engagement, and data-driven tactics specifically for Auckland's educational ecosystem, Professor will transform how students learn—proving that with the right support, every student in New Zealand can thrive. As the city's largest urban center with unparalleled educational density, Auckland is where Professor will establish its legacy as New Zealand’s most trusted academic partner. This isn't just a marketing plan; it's the foundation for revolutionizing tertiary education in our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New Zealand Auckland Strategy</dc:title>
  <dc:creator/>
  <dc:language>en</dc:language>
  <cp:keywords/>
  <dcterms:created xsi:type="dcterms:W3CDTF">2026-07-24T10:01:22Z</dcterms:created>
  <dcterms:modified xsi:type="dcterms:W3CDTF">2026-07-24T10:01:22Z</dcterms:modified>
</cp:coreProperties>
</file>

<file path=docProps/custom.xml><?xml version="1.0" encoding="utf-8"?>
<Properties xmlns="http://schemas.openxmlformats.org/officeDocument/2006/custom-properties" xmlns:vt="http://schemas.openxmlformats.org/officeDocument/2006/docPropsVTypes"/>
</file>