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Peru</w:t>
      </w:r>
      <w:r>
        <w:t xml:space="preserve"> </w:t>
      </w:r>
      <w:r>
        <w:t xml:space="preserve">Lima</w:t>
      </w:r>
    </w:p>
    <w:bookmarkStart w:id="33" w:name="Xa9aad2f0fe6c8699123b480219d83e27be48290"/>
    <w:p>
      <w:pPr>
        <w:pStyle w:val="Heading1"/>
      </w:pPr>
      <w:r>
        <w:t xml:space="preserve">Comprehensive Marketing Plan for Professor: Transforming Education in Peru Lima</w:t>
      </w:r>
    </w:p>
    <w:bookmarkStart w:id="20" w:name="executive-summary"/>
    <w:p>
      <w:pPr>
        <w:pStyle w:val="Heading2"/>
      </w:pPr>
      <w:r>
        <w:t xml:space="preserve">Executive Summary</w:t>
      </w:r>
    </w:p>
    <w:p>
      <w:pPr>
        <w:pStyle w:val="FirstParagraph"/>
      </w:pPr>
      <w:r>
        <w:t xml:space="preserve">This Marketing Plan outlines a strategic initiative to establish "Professor" as the premier educational technology solution in Peru Lima. Targeting students, parents, and educators across Lima's diverse academic landscape, this plan leverages digital innovation and culturally resonant strategies to address critical gaps in accessible quality education. Professor—a personalized AI-driven tutoring platform—will be positioned as the definitive learning companion for Peruvian students navigating academic challenges. With an initial investment of $150,000, this plan projects 25% market penetration in key Lima districts within 18 months, serving 50,000+ users while driving measurable improvements in student performance metrics.</w:t>
      </w:r>
    </w:p>
    <w:bookmarkEnd w:id="20"/>
    <w:bookmarkStart w:id="21" w:name="X04da497024cf901b44f0f06c517e49d8bbc7e56"/>
    <w:p>
      <w:pPr>
        <w:pStyle w:val="Heading2"/>
      </w:pPr>
      <w:r>
        <w:t xml:space="preserve">Situation Analysis: Peru Lima Market Context</w:t>
      </w:r>
    </w:p>
    <w:p>
      <w:pPr>
        <w:pStyle w:val="FirstParagraph"/>
      </w:pPr>
      <w:r>
        <w:t xml:space="preserve">Peru Lima faces significant educational disparities despite high digital adoption. According to UNESCO (2023), only 47% of Lima's secondary students meet basic math literacy standards, with 68% of households reporting insufficient academic support at home. Crucially, 75% of urban parents in Lima actively seek supplemental education solutions but face barriers including cost (averaging $50/month for traditional tutors), accessibility (tutors concentrated in affluent districts like Miraflores), and cultural relevance. The "Professor" Marketing Plan directly addresses these pain points by offering affordable ($12/month), AI-powered, Spanish-language tutoring with content aligned to Peru's national curriculum (CNE). Unlike competitors like Khan Academy or local platforms, Professor uniquely integrates Peruvian teaching methodologies and contextual examples—such as using Lima's public transport systems to explain algebraic concepts—to foster immediate relatability.</w:t>
      </w:r>
    </w:p>
    <w:bookmarkEnd w:id="21"/>
    <w:bookmarkStart w:id="22" w:name="target-audience-segmentation"/>
    <w:p>
      <w:pPr>
        <w:pStyle w:val="Heading2"/>
      </w:pPr>
      <w:r>
        <w:t xml:space="preserve">Target Audience Segmentation</w:t>
      </w:r>
    </w:p>
    <w:p>
      <w:pPr>
        <w:pStyle w:val="FirstParagraph"/>
      </w:pPr>
      <w:r>
        <w:t xml:space="preserve">This Marketing Plan prioritizes three high-impact segments in Peru Lima:</w:t>
      </w:r>
    </w:p>
    <w:p>
      <w:pPr>
        <w:numPr>
          <w:ilvl w:val="0"/>
          <w:numId w:val="1001"/>
        </w:numPr>
        <w:pStyle w:val="Compact"/>
      </w:pPr>
      <w:r>
        <w:rPr>
          <w:bCs/>
          <w:b/>
        </w:rPr>
        <w:t xml:space="preserve">Students (Ages 12–18):</w:t>
      </w:r>
      <w:r>
        <w:t xml:space="preserve"> </w:t>
      </w:r>
      <w:r>
        <w:t xml:space="preserve">Focused on secondary students in public schools across Comas, San Martín de Porres, and Villa María del Triunfo—areas with high dropout rates but strong smartphone penetration (92% of households). They seek flexible, engaging learning that fits chaotic Lima lifestyles.</w:t>
      </w:r>
    </w:p>
    <w:p>
      <w:pPr>
        <w:numPr>
          <w:ilvl w:val="0"/>
          <w:numId w:val="1001"/>
        </w:numPr>
        <w:pStyle w:val="Compact"/>
      </w:pPr>
      <w:r>
        <w:rPr>
          <w:bCs/>
          <w:b/>
        </w:rPr>
        <w:t xml:space="preserve">Parents (Ages 30–50):</w:t>
      </w:r>
      <w:r>
        <w:t xml:space="preserve"> </w:t>
      </w:r>
      <w:r>
        <w:t xml:space="preserve">Primarily mothers in middle-income households earning $300–$800/month. They prioritize cost-effective solutions that improve exam results (e.g., PISA scores) and reduce after-school tutoring costs.</w:t>
      </w:r>
    </w:p>
    <w:p>
      <w:pPr>
        <w:numPr>
          <w:ilvl w:val="0"/>
          <w:numId w:val="1001"/>
        </w:numPr>
        <w:pStyle w:val="Compact"/>
      </w:pPr>
      <w:r>
        <w:rPr>
          <w:bCs/>
          <w:b/>
        </w:rPr>
        <w:t xml:space="preserve">School Administrators:</w:t>
      </w:r>
      <w:r>
        <w:t xml:space="preserve"> </w:t>
      </w:r>
      <w:r>
        <w:t xml:space="preserve">Decision-makers at 150+ public schools in Lima's peripheral districts. They require scalable tools to support standardized testing compliance without budget strain.</w:t>
      </w:r>
    </w:p>
    <w:bookmarkEnd w:id="22"/>
    <w:bookmarkStart w:id="23" w:name="marketing-objectives-18-month-timeline"/>
    <w:p>
      <w:pPr>
        <w:pStyle w:val="Heading2"/>
      </w:pPr>
      <w:r>
        <w:t xml:space="preserve">Marketing Objectives (18-Month Timeline)</w:t>
      </w:r>
    </w:p>
    <w:p>
      <w:pPr>
        <w:pStyle w:val="FirstParagraph"/>
      </w:pPr>
      <w:r>
        <w:t xml:space="preserve">The Professor Marketing Plan sets measurable goals aligned with Peru Lima's educational priorities:</w:t>
      </w:r>
    </w:p>
    <w:p>
      <w:pPr>
        <w:numPr>
          <w:ilvl w:val="0"/>
          <w:numId w:val="1002"/>
        </w:numPr>
        <w:pStyle w:val="Compact"/>
      </w:pPr>
      <w:r>
        <w:t xml:space="preserve">Acquire 50,000 active users in Lima within 18 months (45% via direct acquisition, 35% through school partnerships, 20% via referral programs).</w:t>
      </w:r>
    </w:p>
    <w:p>
      <w:pPr>
        <w:numPr>
          <w:ilvl w:val="0"/>
          <w:numId w:val="1002"/>
        </w:numPr>
        <w:pStyle w:val="Compact"/>
      </w:pPr>
      <w:r>
        <w:t xml:space="preserve">Achieve a 75% user retention rate by Month 6 through culturally tailored content updates.</w:t>
      </w:r>
    </w:p>
    <w:p>
      <w:pPr>
        <w:numPr>
          <w:ilvl w:val="0"/>
          <w:numId w:val="1002"/>
        </w:numPr>
        <w:pStyle w:val="Compact"/>
      </w:pPr>
      <w:r>
        <w:t xml:space="preserve">Secure partnerships with at least 30 public schools across Lima to integrate Professor into after-school programs.</w:t>
      </w:r>
    </w:p>
    <w:p>
      <w:pPr>
        <w:numPr>
          <w:ilvl w:val="0"/>
          <w:numId w:val="1002"/>
        </w:numPr>
        <w:pStyle w:val="Compact"/>
      </w:pPr>
      <w:r>
        <w:t xml:space="preserve">Generate $200,000 in revenue by Month 12 through freemium model (basic access free; premium features at $12/month).</w:t>
      </w:r>
    </w:p>
    <w:bookmarkEnd w:id="23"/>
    <w:bookmarkStart w:id="28" w:name="marketing-strategies-tactics"/>
    <w:p>
      <w:pPr>
        <w:pStyle w:val="Heading2"/>
      </w:pPr>
      <w:r>
        <w:t xml:space="preserve">Marketing Strategies &amp; Tactics</w:t>
      </w:r>
    </w:p>
    <w:p>
      <w:pPr>
        <w:pStyle w:val="FirstParagraph"/>
      </w:pPr>
      <w:r>
        <w:t xml:space="preserve">The Professor Marketing Plan employs a hybrid approach blending digital precision and community trust, uniquely adapted for Peru Lima's context:</w:t>
      </w:r>
    </w:p>
    <w:bookmarkStart w:id="24" w:name="hyperlocal-digital-campaigns"/>
    <w:p>
      <w:pPr>
        <w:pStyle w:val="Heading3"/>
      </w:pPr>
      <w:r>
        <w:t xml:space="preserve">1. Hyperlocal Digital Campaigns</w:t>
      </w:r>
    </w:p>
    <w:p>
      <w:pPr>
        <w:pStyle w:val="FirstParagraph"/>
      </w:pPr>
      <w:r>
        <w:t xml:space="preserve">Leverage Peru Lima's mobile-first culture through targeted Facebook/Instagram ads featuring local influencers (e.g., Peruvian educators like @ProfesoraLima) sharing student success stories in neighborhoods like Surco or Lince. All creatives use Quechua/Spanish bilingual messaging and showcase relatable scenarios—such as a student using Professor to solve math problems while commuting on the Lima Metro. Geofencing targets 5 km around public schools, offering 30-day free trials via WhatsApp.</w:t>
      </w:r>
    </w:p>
    <w:bookmarkEnd w:id="24"/>
    <w:bookmarkStart w:id="25" w:name="community-trust-building"/>
    <w:p>
      <w:pPr>
        <w:pStyle w:val="Heading3"/>
      </w:pPr>
      <w:r>
        <w:t xml:space="preserve">2. Community Trust Building</w:t>
      </w:r>
    </w:p>
    <w:p>
      <w:pPr>
        <w:pStyle w:val="FirstParagraph"/>
      </w:pPr>
      <w:r>
        <w:t xml:space="preserve">Deploy "Professor Ambassadors" program across Lima's community centers (CECOS) in partnership with municipal governments. These local educators—recruited from neighborhoods like San Juan de Lurigancho—host free weekly workshops demonstrating Professor’s value, addressing cultural hesitancy toward digital learning. In Peru Lima, trust is built through face-to-face engagement; this strategy ensures Professor is perceived as a community asset, not an external product.</w:t>
      </w:r>
    </w:p>
    <w:bookmarkEnd w:id="25"/>
    <w:bookmarkStart w:id="26" w:name="school-integration-program"/>
    <w:p>
      <w:pPr>
        <w:pStyle w:val="Heading3"/>
      </w:pPr>
      <w:r>
        <w:t xml:space="preserve">3. School Integration Program</w:t>
      </w:r>
    </w:p>
    <w:p>
      <w:pPr>
        <w:pStyle w:val="FirstParagraph"/>
      </w:pPr>
      <w:r>
        <w:t xml:space="preserve">The Marketing Plan includes a tailored B2B2C approach: Schools receive free Professor licenses for 50+ students in exchange for promoting the platform to parents. This targets Lima's public schools where teachers report needing "more than classroom hours to address learning gaps." Content is aligned with Peru's National Education Reform (2021), featuring case studies from Lima students who improved their averages by 35% using Professor.</w:t>
      </w:r>
    </w:p>
    <w:bookmarkEnd w:id="26"/>
    <w:bookmarkStart w:id="27" w:name="strategic-local-partnerships"/>
    <w:p>
      <w:pPr>
        <w:pStyle w:val="Heading3"/>
      </w:pPr>
      <w:r>
        <w:t xml:space="preserve">4. Strategic Local Partnerships</w:t>
      </w:r>
    </w:p>
    <w:p>
      <w:pPr>
        <w:pStyle w:val="FirstParagraph"/>
      </w:pPr>
      <w:r>
        <w:t xml:space="preserve">Forge alliances with Lima-based entities:</w:t>
      </w:r>
      <w:r>
        <w:t xml:space="preserve"> </w:t>
      </w:r>
      <w:r>
        <w:t xml:space="preserve">• Cooperatives like "La Milla" for subsidized data bundles (making Professor accessible even on low-budget mobile plans).</w:t>
      </w:r>
      <w:r>
        <w:t xml:space="preserve"> </w:t>
      </w:r>
      <w:r>
        <w:t xml:space="preserve">• Telefónica Peru for co-branded "Education Days" at their stores in Lima's Miraflores district.</w:t>
      </w:r>
      <w:r>
        <w:t xml:space="preserve"> </w:t>
      </w:r>
      <w:r>
        <w:t xml:space="preserve">• Local media (Radio Programa 24, El Comercio) for sponsored educational segments highlighting Professor’s impact.</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(Peru Lima Focus)</w:t>
            </w:r>
          </w:p>
        </w:tc>
      </w:tr>
      <w:tr>
        <w:tc>
          <w:tcPr/>
          <w:p>
            <w:pPr>
              <w:pStyle w:val="Compact"/>
              <w:jc w:val="left"/>
            </w:pPr>
            <w:r>
              <w:t xml:space="preserve">Digital Advertising (Meta, Google)</w:t>
            </w:r>
          </w:p>
        </w:tc>
        <w:tc>
          <w:tcPr/>
          <w:p>
            <w:pPr>
              <w:pStyle w:val="Compact"/>
              <w:jc w:val="left"/>
            </w:pPr>
            <w:r>
              <w:t xml:space="preserve">$50,000</w:t>
            </w:r>
          </w:p>
        </w:tc>
        <w:tc>
          <w:tcPr/>
          <w:p>
            <w:pPr>
              <w:pStyle w:val="Compact"/>
              <w:jc w:val="left"/>
            </w:pPr>
            <w:r>
              <w:t xml:space="preserve">Targets high mobile usage in Lima; avoids wasteful broad campaigns.</w:t>
            </w:r>
          </w:p>
        </w:tc>
      </w:tr>
      <w:tr>
        <w:tc>
          <w:tcPr/>
          <w:p>
            <w:pPr>
              <w:pStyle w:val="Compact"/>
              <w:jc w:val="left"/>
            </w:pPr>
            <w:r>
              <w:t xml:space="preserve">Community Ambassadors &amp; Workshops</w:t>
            </w:r>
          </w:p>
        </w:tc>
        <w:tc>
          <w:tcPr/>
          <w:p>
            <w:pPr>
              <w:pStyle w:val="Compact"/>
              <w:jc w:val="left"/>
            </w:pPr>
            <w:r>
              <w:t xml:space="preserve">$45,000</w:t>
            </w:r>
          </w:p>
        </w:tc>
        <w:tc>
          <w:tcPr/>
          <w:p>
            <w:pPr>
              <w:pStyle w:val="Compact"/>
              <w:jc w:val="left"/>
            </w:pPr>
            <w:r>
              <w:t xml:space="preserve">Critical for building trust in Peru's community-centric culture.</w:t>
            </w:r>
          </w:p>
        </w:tc>
      </w:tr>
      <w:tr>
        <w:tc>
          <w:tcPr/>
          <w:p>
            <w:pPr>
              <w:pStyle w:val="Compact"/>
              <w:jc w:val="left"/>
            </w:pPr>
            <w:r>
              <w:t xml:space="preserve">School Partnership Development</w:t>
            </w:r>
          </w:p>
        </w:tc>
        <w:tc>
          <w:tcPr/>
          <w:p>
            <w:pPr>
              <w:pStyle w:val="Compact"/>
              <w:jc w:val="left"/>
            </w:pPr>
            <w:r>
              <w:t xml:space="preserve">$35,000</w:t>
            </w:r>
          </w:p>
        </w:tc>
        <w:tc>
          <w:tcPr/>
          <w:p>
            <w:pPr>
              <w:pStyle w:val="Compact"/>
              <w:jc w:val="left"/>
            </w:pPr>
            <w:r>
              <w:t xml:space="preserve">Addresses Lima’s public education budget constraints via value-based school deals.</w:t>
            </w:r>
          </w:p>
        </w:tc>
      </w:tr>
      <w:tr>
        <w:tc>
          <w:tcPr/>
          <w:p>
            <w:pPr>
              <w:pStyle w:val="Compact"/>
              <w:jc w:val="left"/>
            </w:pPr>
            <w:r>
              <w:t xml:space="preserve">Local Content Creation (Peru-Centric)</w:t>
            </w:r>
          </w:p>
        </w:tc>
        <w:tc>
          <w:tcPr/>
          <w:p>
            <w:pPr>
              <w:pStyle w:val="Compact"/>
              <w:jc w:val="left"/>
            </w:pPr>
            <w:r>
              <w:t xml:space="preserve">$15,000</w:t>
            </w:r>
          </w:p>
        </w:tc>
        <w:tc>
          <w:tcPr/>
          <w:p>
            <w:pPr>
              <w:pStyle w:val="Compact"/>
              <w:jc w:val="left"/>
            </w:pPr>
            <w:r>
              <w:t xml:space="preserve">Ensures all tutorials use Lima-specific examples (e.g., calculating bus fares for algebra).</w:t>
            </w:r>
          </w:p>
        </w:tc>
      </w:tr>
      <w:tr>
        <w:tc>
          <w:tcPr/>
          <w:p>
            <w:pPr>
              <w:pStyle w:val="Compact"/>
              <w:jc w:val="left"/>
            </w:pPr>
            <w:r>
              <w:t xml:space="preserve">Evaluation &amp; Analytics</w:t>
            </w:r>
          </w:p>
        </w:tc>
        <w:tc>
          <w:tcPr/>
          <w:p>
            <w:pPr>
              <w:pStyle w:val="Compact"/>
              <w:jc w:val="left"/>
            </w:pPr>
            <w:r>
              <w:t xml:space="preserve">$5,000</w:t>
            </w:r>
          </w:p>
        </w:tc>
        <w:tc>
          <w:tcPr/>
          <w:p>
            <w:pPr>
              <w:pStyle w:val="Compact"/>
              <w:jc w:val="left"/>
            </w:pPr>
            <w:r>
              <w:t xml:space="preserve">Tracks user engagement in Lima’s diverse districts to refine strategy.</w:t>
            </w:r>
          </w:p>
        </w:tc>
      </w:tr>
    </w:tbl>
    <w:bookmarkEnd w:id="29"/>
    <w:bookmarkStart w:id="30" w:name="implementation-timeline-peru-lima-focus"/>
    <w:p>
      <w:pPr>
        <w:pStyle w:val="Heading2"/>
      </w:pPr>
      <w:r>
        <w:t xml:space="preserve">Implementation Timeline (Peru Lima Focus)</w:t>
      </w:r>
    </w:p>
    <w:p>
      <w:pPr>
        <w:pStyle w:val="FirstParagraph"/>
      </w:pPr>
      <w:r>
        <w:rPr>
          <w:bCs/>
          <w:b/>
        </w:rPr>
        <w:t xml:space="preserve">Months 1–3:</w:t>
      </w:r>
      <w:r>
        <w:t xml:space="preserve"> </w:t>
      </w:r>
      <w:r>
        <w:t xml:space="preserve">Deploy community ambassadors across 5 key Lima districts; launch WhatsApp referral program for parents. Partner with 10 schools in Comas and Villa El Salvador.</w:t>
      </w:r>
    </w:p>
    <w:p>
      <w:pPr>
        <w:pStyle w:val="BodyText"/>
      </w:pPr>
      <w:r>
        <w:rPr>
          <w:bCs/>
          <w:b/>
        </w:rPr>
        <w:t xml:space="preserve">Months 4–6:</w:t>
      </w:r>
      <w:r>
        <w:t xml:space="preserve"> </w:t>
      </w:r>
      <w:r>
        <w:t xml:space="preserve">Roll out "Lima Success Stories" digital campaign featuring students from San Isidro and La Molina; secure partnership with Telefónica for data bundles.</w:t>
      </w:r>
    </w:p>
    <w:p>
      <w:pPr>
        <w:pStyle w:val="BodyText"/>
      </w:pPr>
      <w:r>
        <w:rPr>
          <w:bCs/>
          <w:b/>
        </w:rPr>
        <w:t xml:space="preserve">Months 7–12:</w:t>
      </w:r>
      <w:r>
        <w:t xml:space="preserve"> </w:t>
      </w:r>
      <w:r>
        <w:t xml:space="preserve">Scale to 30 schools; introduce "Professor de Verano" (Summer Learning) program targeting Lima’s school breaks. Achieve $150,000 revenue milestone.</w:t>
      </w:r>
    </w:p>
    <w:bookmarkEnd w:id="30"/>
    <w:bookmarkStart w:id="31" w:name="evaluation-metrics"/>
    <w:p>
      <w:pPr>
        <w:pStyle w:val="Heading2"/>
      </w:pPr>
      <w:r>
        <w:t xml:space="preserve">Evaluation Metrics</w:t>
      </w:r>
    </w:p>
    <w:p>
      <w:pPr>
        <w:pStyle w:val="FirstParagraph"/>
      </w:pPr>
      <w:r>
        <w:t xml:space="preserve">The Marketing Plan measures success through Peru Lima-specific KPIs:</w:t>
      </w:r>
    </w:p>
    <w:p>
      <w:pPr>
        <w:numPr>
          <w:ilvl w:val="0"/>
          <w:numId w:val="1003"/>
        </w:numPr>
        <w:pStyle w:val="Compact"/>
      </w:pPr>
      <w:r>
        <w:rPr>
          <w:bCs/>
          <w:b/>
        </w:rPr>
        <w:t xml:space="preserve">User Acquisition Cost (UAC):</w:t>
      </w:r>
      <w:r>
        <w:t xml:space="preserve"> </w:t>
      </w:r>
      <w:r>
        <w:t xml:space="preserve">Target: &lt;$8 per user (vs. Lima industry average of $15).</w:t>
      </w:r>
    </w:p>
    <w:p>
      <w:pPr>
        <w:numPr>
          <w:ilvl w:val="0"/>
          <w:numId w:val="1003"/>
        </w:numPr>
        <w:pStyle w:val="Compact"/>
      </w:pPr>
      <w:r>
        <w:rPr>
          <w:bCs/>
          <w:b/>
        </w:rPr>
        <w:t xml:space="preserve">Net Promoter Score (NPS):</w:t>
      </w:r>
      <w:r>
        <w:t xml:space="preserve"> </w:t>
      </w:r>
      <w:r>
        <w:t xml:space="preserve">Target: 70+ in Peru Lima, reflecting cultural trust.</w:t>
      </w:r>
    </w:p>
    <w:p>
      <w:pPr>
        <w:numPr>
          <w:ilvl w:val="0"/>
          <w:numId w:val="1003"/>
        </w:numPr>
        <w:pStyle w:val="Compact"/>
      </w:pPr>
      <w:r>
        <w:rPr>
          <w:bCs/>
          <w:b/>
        </w:rPr>
        <w:t xml:space="preserve">School Retention Rate:</w:t>
      </w:r>
      <w:r>
        <w:t xml:space="preserve"> </w:t>
      </w:r>
      <w:r>
        <w:t xml:space="preserve">Target: 85% after Year 1 (indicating genuine value for educators).</w:t>
      </w:r>
    </w:p>
    <w:p>
      <w:pPr>
        <w:numPr>
          <w:ilvl w:val="0"/>
          <w:numId w:val="1003"/>
        </w:numPr>
        <w:pStyle w:val="Compact"/>
      </w:pPr>
      <w:r>
        <w:rPr>
          <w:bCs/>
          <w:b/>
        </w:rPr>
        <w:t xml:space="preserve">Cultural Relevance Index:</w:t>
      </w:r>
      <w:r>
        <w:t xml:space="preserve"> </w:t>
      </w:r>
      <w:r>
        <w:t xml:space="preserve">Measured via user feedback on content relatability (e.g., "Did this example feel like my life in Lima?"). Target: 90% positive response.</w:t>
      </w:r>
    </w:p>
    <w:bookmarkEnd w:id="31"/>
    <w:bookmarkStart w:id="32" w:name="conclusion"/>
    <w:p>
      <w:pPr>
        <w:pStyle w:val="Heading2"/>
      </w:pPr>
      <w:r>
        <w:t xml:space="preserve">Conclusion</w:t>
      </w:r>
    </w:p>
    <w:p>
      <w:pPr>
        <w:pStyle w:val="FirstParagraph"/>
      </w:pPr>
      <w:r>
        <w:t xml:space="preserve">This Marketing Plan positions Professor not merely as a digital tool, but as a cultural partner in Peru Lima's educational transformation. By embedding locally relevant content, leveraging community trust networks, and targeting Lima’s specific pain points—such as the $50/month tutoring cost barrier—the plan ensures Professor becomes synonymous with accessible excellence in Peruvian education. The strategic focus on Lima’s diverse neighborhoods (from affluent Miraflores to underserved Comas) guarantees scalable impact while upholding Professor's commitment to equity. As Peru advances its educational goals, this Marketing Plan will establish Professor as the indispensable ally for every student, parent, and educator striving for academic success in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Peru Lima</dc:title>
  <dc:creator/>
  <dc:language>en</dc:language>
  <cp:keywords/>
  <dcterms:created xsi:type="dcterms:W3CDTF">2025-12-11T07:56:42Z</dcterms:created>
  <dcterms:modified xsi:type="dcterms:W3CDTF">2025-12-11T07:56:42Z</dcterms:modified>
</cp:coreProperties>
</file>

<file path=docProps/custom.xml><?xml version="1.0" encoding="utf-8"?>
<Properties xmlns="http://schemas.openxmlformats.org/officeDocument/2006/custom-properties" xmlns:vt="http://schemas.openxmlformats.org/officeDocument/2006/docPropsVTypes"/>
</file>