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Ankara</w:t>
      </w:r>
    </w:p>
    <w:bookmarkStart w:id="30" w:name="Xf2280cce6b95ff165d94e67a101c933f19f0464"/>
    <w:p>
      <w:pPr>
        <w:pStyle w:val="Heading1"/>
      </w:pPr>
      <w:r>
        <w:t xml:space="preserve">Comprehensive Marketing Plan: Professor's Strategic Entry into Turkey Ankara Market</w:t>
      </w:r>
    </w:p>
    <w:bookmarkStart w:id="20" w:name="executive-summary"/>
    <w:p>
      <w:pPr>
        <w:pStyle w:val="Heading2"/>
      </w:pPr>
      <w:r>
        <w:t xml:space="preserve">Executive Summary</w:t>
      </w:r>
    </w:p>
    <w:p>
      <w:pPr>
        <w:pStyle w:val="FirstParagraph"/>
      </w:pPr>
      <w:r>
        <w:t xml:space="preserve">This Marketing Plan outlines a targeted strategy for "Professor," an innovative academic coaching and professional development service, to establish market leadership in Ankara, Turkey. As the nation's political and educational epicenter, Ankara presents a unique opportunity to position Professor as the premier solution for university students, graduates, and corporate professionals seeking accelerated career advancement through personalized academic guidance. This plan leverages Ankara's dense higher education ecosystem—hosting 23 universities including Hacettepe University and Middle East Technical University (METU)—to deliver measurable growth within 18 months.</w:t>
      </w:r>
    </w:p>
    <w:bookmarkEnd w:id="20"/>
    <w:bookmarkStart w:id="21" w:name="market-analysis-turkey-ankara-context"/>
    <w:p>
      <w:pPr>
        <w:pStyle w:val="Heading2"/>
      </w:pPr>
      <w:r>
        <w:t xml:space="preserve">Market Analysis: Turkey Ankara Context</w:t>
      </w:r>
    </w:p>
    <w:p>
      <w:pPr>
        <w:pStyle w:val="FirstParagraph"/>
      </w:pPr>
      <w:r>
        <w:t xml:space="preserve">Ankara’s education market is defined by intense competition and high demand for quality academic support. With over 700,000 students across universities in the capital and a rapidly expanding STEM workforce (projected 18% growth by 2025), there is a critical gap in accessible, culturally attuned academic coaching. Current solutions are either overly generic or disconnected from Turkey’s YÖK (Higher Education Council) standards. Professor addresses this through localized content, Turkish-English bilingual support, and alignment with Ankara-specific career pathways like public sector recruitment and technology startups.</w:t>
      </w:r>
    </w:p>
    <w:bookmarkEnd w:id="21"/>
    <w:bookmarkStart w:id="22" w:name="target-audience-in-turkey-ankara"/>
    <w:p>
      <w:pPr>
        <w:pStyle w:val="Heading2"/>
      </w:pPr>
      <w:r>
        <w:t xml:space="preserve">Target Audience in Turkey Ankara</w:t>
      </w:r>
    </w:p>
    <w:p>
      <w:pPr>
        <w:pStyle w:val="FirstParagraph"/>
      </w:pPr>
      <w:r>
        <w:t xml:space="preserve">Our primary audience comprises:</w:t>
      </w:r>
    </w:p>
    <w:p>
      <w:pPr>
        <w:numPr>
          <w:ilvl w:val="0"/>
          <w:numId w:val="1001"/>
        </w:numPr>
        <w:pStyle w:val="Compact"/>
      </w:pPr>
      <w:r>
        <w:rPr>
          <w:bCs/>
          <w:b/>
        </w:rPr>
        <w:t xml:space="preserve">University Students (Ankara Region):</w:t>
      </w:r>
      <w:r>
        <w:t xml:space="preserve"> </w:t>
      </w:r>
      <w:r>
        <w:t xml:space="preserve">18-24-year-olds at universities like Bilkent, Ankara University, and TOBB ETU seeking thesis guidance, exam prep (e.g., YDS), and internship placement.</w:t>
      </w:r>
    </w:p>
    <w:p>
      <w:pPr>
        <w:numPr>
          <w:ilvl w:val="0"/>
          <w:numId w:val="1001"/>
        </w:numPr>
        <w:pStyle w:val="Compact"/>
      </w:pPr>
      <w:r>
        <w:rPr>
          <w:bCs/>
          <w:b/>
        </w:rPr>
        <w:t xml:space="preserve">Early-Career Professionals:</w:t>
      </w:r>
      <w:r>
        <w:t xml:space="preserve"> </w:t>
      </w:r>
      <w:r>
        <w:t xml:space="preserve">Graduates aged 25-30 working in Ankara’s government agencies (Ministries) or tech hubs like Teknopark Ankara, needing skills enhancement for promotions.</w:t>
      </w:r>
    </w:p>
    <w:p>
      <w:pPr>
        <w:numPr>
          <w:ilvl w:val="0"/>
          <w:numId w:val="1001"/>
        </w:numPr>
        <w:pStyle w:val="Compact"/>
      </w:pPr>
      <w:r>
        <w:rPr>
          <w:bCs/>
          <w:b/>
        </w:rPr>
        <w:t xml:space="preserve">Corporate Partners:</w:t>
      </w:r>
      <w:r>
        <w:t xml:space="preserve"> </w:t>
      </w:r>
      <w:r>
        <w:t xml:space="preserve">Local firms (e.g., Turkcell, Hava Tasima) requiring certified training programs for employees.</w:t>
      </w:r>
    </w:p>
    <w:bookmarkEnd w:id="22"/>
    <w:bookmarkStart w:id="23" w:name="unique-value-proposition"/>
    <w:p>
      <w:pPr>
        <w:pStyle w:val="Heading2"/>
      </w:pPr>
      <w:r>
        <w:t xml:space="preserve">Unique Value Proposition</w:t>
      </w:r>
    </w:p>
    <w:p>
      <w:pPr>
        <w:pStyle w:val="FirstParagraph"/>
      </w:pPr>
      <w:r>
        <w:t xml:space="preserve">Professor differentiates itself through three Ankara-focused pillars:</w:t>
      </w:r>
    </w:p>
    <w:p>
      <w:pPr>
        <w:numPr>
          <w:ilvl w:val="0"/>
          <w:numId w:val="1002"/>
        </w:numPr>
        <w:pStyle w:val="Compact"/>
      </w:pPr>
      <w:r>
        <w:rPr>
          <w:bCs/>
          <w:b/>
        </w:rPr>
        <w:t xml:space="preserve">Cultural Precision:</w:t>
      </w:r>
      <w:r>
        <w:t xml:space="preserve"> </w:t>
      </w:r>
      <w:r>
        <w:t xml:space="preserve">All coaching materials reference Turkish academic norms (e.g., thesis formatting per YÖK), campus-specific resources (e.g., METU Library databases), and Ankara-centric case studies.</w:t>
      </w:r>
    </w:p>
    <w:p>
      <w:pPr>
        <w:numPr>
          <w:ilvl w:val="0"/>
          <w:numId w:val="1002"/>
        </w:numPr>
        <w:pStyle w:val="Compact"/>
      </w:pPr>
      <w:r>
        <w:rPr>
          <w:bCs/>
          <w:b/>
        </w:rPr>
        <w:t xml:space="preserve">Hybrid Accessibility:</w:t>
      </w:r>
      <w:r>
        <w:t xml:space="preserve"> </w:t>
      </w:r>
      <w:r>
        <w:t xml:space="preserve">On-ground workshops at Ankara locations like Kızılay and Çankaya, paired with app-based support for students commuting from suburbs.</w:t>
      </w:r>
    </w:p>
    <w:p>
      <w:pPr>
        <w:numPr>
          <w:ilvl w:val="0"/>
          <w:numId w:val="1002"/>
        </w:numPr>
        <w:pStyle w:val="Compact"/>
      </w:pPr>
      <w:r>
        <w:rPr>
          <w:bCs/>
          <w:b/>
        </w:rPr>
        <w:t xml:space="preserve">Local Expertise:</w:t>
      </w:r>
      <w:r>
        <w:t xml:space="preserve"> </w:t>
      </w:r>
      <w:r>
        <w:t xml:space="preserve">100% of coaches are Ankara-based academics with YÖK certifications, ensuring credibility within the Turkish education ecosystem.</w:t>
      </w:r>
    </w:p>
    <w:bookmarkEnd w:id="23"/>
    <w:bookmarkStart w:id="24" w:name="marketing-objectives-turkey-ankara-focus"/>
    <w:p>
      <w:pPr>
        <w:pStyle w:val="Heading2"/>
      </w:pPr>
      <w:r>
        <w:t xml:space="preserve">Marketing Objectives (Turkey Ankara Focus)</w:t>
      </w:r>
    </w:p>
    <w:p>
      <w:pPr>
        <w:pStyle w:val="FirstParagraph"/>
      </w:pPr>
      <w:r>
        <w:t xml:space="preserve">To achieve market penetration in Turkey Ankara through:</w:t>
      </w:r>
    </w:p>
    <w:p>
      <w:pPr>
        <w:numPr>
          <w:ilvl w:val="0"/>
          <w:numId w:val="1003"/>
        </w:numPr>
        <w:pStyle w:val="Compact"/>
      </w:pPr>
      <w:r>
        <w:t xml:space="preserve">Acquire 1,500 active users within 12 months (70% from Ankara universities).</w:t>
      </w:r>
    </w:p>
    <w:p>
      <w:pPr>
        <w:numPr>
          <w:ilvl w:val="0"/>
          <w:numId w:val="1003"/>
        </w:numPr>
        <w:pStyle w:val="Compact"/>
      </w:pPr>
      <w:r>
        <w:t xml:space="preserve">Secure 8 corporate partnerships with Ankaran organizations by Q3 2024.</w:t>
      </w:r>
    </w:p>
    <w:p>
      <w:pPr>
        <w:numPr>
          <w:ilvl w:val="0"/>
          <w:numId w:val="1003"/>
        </w:numPr>
        <w:pStyle w:val="Compact"/>
      </w:pPr>
      <w:r>
        <w:t xml:space="preserve">Attain 95% brand recall among target audiences in Ankara via localized campaigns.</w:t>
      </w:r>
    </w:p>
    <w:bookmarkEnd w:id="24"/>
    <w:bookmarkStart w:id="25" w:name="X87a847b07b5fc5ec75423667ee6c8619bf5e7df"/>
    <w:p>
      <w:pPr>
        <w:pStyle w:val="Heading2"/>
      </w:pPr>
      <w:r>
        <w:t xml:space="preserve">Strategic Tactics: Ankara-Centric Implementation</w:t>
      </w:r>
    </w:p>
    <w:p>
      <w:pPr>
        <w:pStyle w:val="FirstParagraph"/>
      </w:pPr>
      <w:r>
        <w:rPr>
          <w:bCs/>
          <w:b/>
        </w:rPr>
        <w:t xml:space="preserve">1. Hyperlocal Digital Campaigns:</w:t>
      </w:r>
      <w:r>
        <w:t xml:space="preserve"> </w:t>
      </w:r>
      <w:r>
        <w:t xml:space="preserve">We’ll deploy Instagram and TikTok ads targeting users with "Ankara University" or "METU" in their profiles, featuring testimonials from local students (e.g., "How I passed my YDS exam with Professor’s Ankara-based mentor"). Geofencing will trigger notifications near campus zones like Gazi Üniversitesi.</w:t>
      </w:r>
    </w:p>
    <w:p>
      <w:pPr>
        <w:pStyle w:val="BodyText"/>
      </w:pPr>
      <w:r>
        <w:rPr>
          <w:bCs/>
          <w:b/>
        </w:rPr>
        <w:t xml:space="preserve">2. Community Integration:</w:t>
      </w:r>
      <w:r>
        <w:t xml:space="preserve"> </w:t>
      </w:r>
      <w:r>
        <w:t xml:space="preserve">Partner with Ankara Student Unions (e.g., Ankaragücü Students’ Association) to host free "Career Accelerator" workshops at venues like the Gençlik ve Spor Merkezi. Professor will co-brand these events, reinforcing community ties.</w:t>
      </w:r>
    </w:p>
    <w:p>
      <w:pPr>
        <w:pStyle w:val="BodyText"/>
      </w:pPr>
      <w:r>
        <w:rPr>
          <w:bCs/>
          <w:b/>
        </w:rPr>
        <w:t xml:space="preserve">3. Corporate Alliances:</w:t>
      </w:r>
      <w:r>
        <w:t xml:space="preserve"> </w:t>
      </w:r>
      <w:r>
        <w:t xml:space="preserve">Target Ankara’s top 50 employers (e.g., Grameen, Aselsan) with tailored packages including "Professor Leadership Bootcamps" for mid-level staff—a solution addressing Ankara’s skills gap in engineering management.</w:t>
      </w:r>
    </w:p>
    <w:p>
      <w:pPr>
        <w:pStyle w:val="BodyText"/>
      </w:pPr>
      <w:r>
        <w:rPr>
          <w:bCs/>
          <w:b/>
        </w:rPr>
        <w:t xml:space="preserve">4. Traditional Outreach:</w:t>
      </w:r>
      <w:r>
        <w:t xml:space="preserve"> </w:t>
      </w:r>
      <w:r>
        <w:t xml:space="preserve">Distribute brochures at Ankara bookshops (e.g., Kitapçı Kırık) and university libraries. Train local influencers (e.g., popular Ankara-based academic YouTubers like "Bilim ve Karşılaştırmalar") for authentic endorsements.</w:t>
      </w:r>
    </w:p>
    <w:bookmarkEnd w:id="25"/>
    <w:bookmarkStart w:id="26" w:name="X707c6130cf0a4f1554ed5ba2e9786f9b17ca9be"/>
    <w:p>
      <w:pPr>
        <w:pStyle w:val="Heading2"/>
      </w:pPr>
      <w:r>
        <w:t xml:space="preserve">Budget Allocation for Turkey Ankara Market</w:t>
      </w:r>
    </w:p>
    <w:p>
      <w:pPr>
        <w:pStyle w:val="FirstParagraph"/>
      </w:pPr>
      <w:r>
        <w:t xml:space="preserve">Of the total $150,000 budget, 65% is allocated to Ankara-specific initiatives:</w:t>
      </w:r>
    </w:p>
    <w:p>
      <w:pPr>
        <w:numPr>
          <w:ilvl w:val="0"/>
          <w:numId w:val="1004"/>
        </w:numPr>
        <w:pStyle w:val="Compact"/>
      </w:pPr>
      <w:r>
        <w:t xml:space="preserve">45%: Digital campaigns (Geo-targeted ads, influencer collaborations).</w:t>
      </w:r>
    </w:p>
    <w:p>
      <w:pPr>
        <w:numPr>
          <w:ilvl w:val="0"/>
          <w:numId w:val="1004"/>
        </w:numPr>
        <w:pStyle w:val="Compact"/>
      </w:pPr>
      <w:r>
        <w:t xml:space="preserve">25%: On-ground events at Ankara locations (venue rentals, materials).</w:t>
      </w:r>
    </w:p>
    <w:p>
      <w:pPr>
        <w:numPr>
          <w:ilvl w:val="0"/>
          <w:numId w:val="1004"/>
        </w:numPr>
        <w:pStyle w:val="Compact"/>
      </w:pPr>
      <w:r>
        <w:t xml:space="preserve">20%: Localized content development (Turkish-English coaching modules).</w:t>
      </w:r>
    </w:p>
    <w:p>
      <w:pPr>
        <w:numPr>
          <w:ilvl w:val="0"/>
          <w:numId w:val="1004"/>
        </w:numPr>
        <w:pStyle w:val="Compact"/>
      </w:pPr>
      <w:r>
        <w:t xml:space="preserve">10%: Partnership outreach to Ankaran corporates.</w:t>
      </w:r>
    </w:p>
    <w:bookmarkEnd w:id="26"/>
    <w:bookmarkStart w:id="27" w:name="metrics-for-success"/>
    <w:p>
      <w:pPr>
        <w:pStyle w:val="Heading2"/>
      </w:pPr>
      <w:r>
        <w:t xml:space="preserve">Metrics for Success</w:t>
      </w:r>
    </w:p>
    <w:p>
      <w:pPr>
        <w:pStyle w:val="FirstParagraph"/>
      </w:pPr>
      <w:r>
        <w:t xml:space="preserve">We will track performance using Ankara-specific KPIs:</w:t>
      </w:r>
    </w:p>
    <w:p>
      <w:pPr>
        <w:numPr>
          <w:ilvl w:val="0"/>
          <w:numId w:val="1005"/>
        </w:numPr>
        <w:pStyle w:val="Compact"/>
      </w:pPr>
      <w:r>
        <w:rPr>
          <w:bCs/>
          <w:b/>
        </w:rPr>
        <w:t xml:space="preserve">Student Acquisition:</w:t>
      </w:r>
      <w:r>
        <w:t xml:space="preserve"> </w:t>
      </w:r>
      <w:r>
        <w:t xml:space="preserve">% of users from Ankara universities (target: 70%+).</w:t>
      </w:r>
    </w:p>
    <w:p>
      <w:pPr>
        <w:numPr>
          <w:ilvl w:val="0"/>
          <w:numId w:val="1005"/>
        </w:numPr>
        <w:pStyle w:val="Compact"/>
      </w:pPr>
      <w:r>
        <w:rPr>
          <w:bCs/>
          <w:b/>
        </w:rPr>
        <w:t xml:space="preserve">Engagement Depth:</w:t>
      </w:r>
      <w:r>
        <w:t xml:space="preserve"> </w:t>
      </w:r>
      <w:r>
        <w:t xml:space="preserve">Average session duration in Professor’s app (target: 25 mins/session for Ankara users).</w:t>
      </w:r>
    </w:p>
    <w:p>
      <w:pPr>
        <w:numPr>
          <w:ilvl w:val="0"/>
          <w:numId w:val="1005"/>
        </w:numPr>
        <w:pStyle w:val="Compact"/>
      </w:pPr>
      <w:r>
        <w:rPr>
          <w:bCs/>
          <w:b/>
        </w:rPr>
        <w:t xml:space="preserve">Credibility Score:</w:t>
      </w:r>
      <w:r>
        <w:t xml:space="preserve"> </w:t>
      </w:r>
      <w:r>
        <w:t xml:space="preserve">Number of YÖK-recognized workshops held in Ankara (target: 12 by end of Year 1).</w:t>
      </w:r>
    </w:p>
    <w:bookmarkEnd w:id="27"/>
    <w:bookmarkStart w:id="28" w:name="timeline-for-turkey-ankara-rollout"/>
    <w:p>
      <w:pPr>
        <w:pStyle w:val="Heading2"/>
      </w:pPr>
      <w:r>
        <w:t xml:space="preserve">Timeline for Turkey Ankara Rollout</w:t>
      </w:r>
    </w:p>
    <w:p>
      <w:pPr>
        <w:pStyle w:val="FirstParagraph"/>
      </w:pPr>
      <w:r>
        <w:rPr>
          <w:iCs/>
          <w:i/>
        </w:rPr>
        <w:t xml:space="preserve">Months 1-3:</w:t>
      </w:r>
      <w:r>
        <w:t xml:space="preserve"> </w:t>
      </w:r>
      <w:r>
        <w:t xml:space="preserve">Secure partnerships with 3 major universities (e.g., Hacettepe, Gazi) and launch Instagram campaign in Ankara.</w:t>
      </w:r>
      <w:r>
        <w:t xml:space="preserve"> </w:t>
      </w:r>
      <w:r>
        <w:rPr>
          <w:iCs/>
          <w:i/>
        </w:rPr>
        <w:t xml:space="preserve">Months 4-6:</w:t>
      </w:r>
      <w:r>
        <w:t xml:space="preserve"> </w:t>
      </w:r>
      <w:r>
        <w:t xml:space="preserve">Host first "Ankara Career Summit" at Çankaya University; onboard corporate clients.</w:t>
      </w:r>
      <w:r>
        <w:t xml:space="preserve"> </w:t>
      </w:r>
      <w:r>
        <w:rPr>
          <w:iCs/>
          <w:i/>
        </w:rPr>
        <w:t xml:space="preserve">Months 7-12:</w:t>
      </w:r>
      <w:r>
        <w:t xml:space="preserve"> </w:t>
      </w:r>
      <w:r>
        <w:t xml:space="preserve">Expand to all 23 Ankara universities; introduce "Professor Ambassador" program with student influencers.</w:t>
      </w:r>
    </w:p>
    <w:bookmarkEnd w:id="28"/>
    <w:bookmarkStart w:id="29" w:name="conclusion-professors-ankara-advantage"/>
    <w:p>
      <w:pPr>
        <w:pStyle w:val="Heading2"/>
      </w:pPr>
      <w:r>
        <w:t xml:space="preserve">Conclusion: Professor’s Ankara Advantage</w:t>
      </w:r>
    </w:p>
    <w:p>
      <w:pPr>
        <w:pStyle w:val="FirstParagraph"/>
      </w:pPr>
      <w:r>
        <w:t xml:space="preserve">This Marketing Plan ensures Professor becomes synonymous with academic excellence in Turkey’s capital by embedding itself within Ankara’s educational fabric. Unlike competitors offering generic global services, Professor leverages deep local knowledge of Ankara institutions, student challenges, and career landscapes to deliver unmatched value. By prioritizing cultural relevance over scalability—focusing intensely on Ankara first—we will dominate the Turkish academic coaching market while building a replicable model for other cities. The result: Professor won’t just enter Turkey’s market; it will redefine it from Ankara forward.</w:t>
      </w:r>
    </w:p>
    <w:p>
      <w:pPr>
        <w:pStyle w:val="BodyText"/>
      </w:pPr>
      <w:r>
        <w:rPr>
          <w:bCs/>
          <w:b/>
        </w:rPr>
        <w:t xml:space="preserve">Final Note:</w:t>
      </w:r>
      <w:r>
        <w:t xml:space="preserve"> </w:t>
      </w:r>
      <w:r>
        <w:t xml:space="preserve">This plan is designed for immediate execution in Turkey Ankara, with all strategies calibrated to local nuances—from campus culture to bureaucratic processes. Professor’s success in Ankara will be the cornerstone of its national expansion, proving that hyperlocal focus drives nationwide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Turkey Ankara</dc:title>
  <dc:creator/>
  <dc:language>en</dc:language>
  <cp:keywords/>
  <dcterms:created xsi:type="dcterms:W3CDTF">2026-07-21T09:53:44Z</dcterms:created>
  <dcterms:modified xsi:type="dcterms:W3CDTF">2026-07-21T09:53:44Z</dcterms:modified>
</cp:coreProperties>
</file>

<file path=docProps/custom.xml><?xml version="1.0" encoding="utf-8"?>
<Properties xmlns="http://schemas.openxmlformats.org/officeDocument/2006/custom-properties" xmlns:vt="http://schemas.openxmlformats.org/officeDocument/2006/docPropsVTypes"/>
</file>