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ae9449d3cec7d6324ce36de7f048e0ad44598e5"/>
    <w:p>
      <w:pPr>
        <w:pStyle w:val="Heading1"/>
      </w:pPr>
      <w:r>
        <w:t xml:space="preserve">Comprehensive Marketing Plan for "Professor" in the United Arab Emirates Dubai Market</w:t>
      </w:r>
    </w:p>
    <w:bookmarkStart w:id="20" w:name="executive-summary"/>
    <w:p>
      <w:pPr>
        <w:pStyle w:val="Heading2"/>
      </w:pPr>
      <w:r>
        <w:t xml:space="preserve">Executive Summary</w:t>
      </w:r>
    </w:p>
    <w:p>
      <w:pPr>
        <w:pStyle w:val="FirstParagraph"/>
      </w:pPr>
      <w:r>
        <w:t xml:space="preserve">This Marketing Plan outlines the strategic entry and growth roadmap for "Professor," a premium educational consultancy service, into the highly competitive and rapidly evolving education ecosystem of Dubai, United Arab Emirates. Recognizing Dubai's position as a global hub for education and its alignment with UAE Vision 2030, this plan leverages local market dynamics to establish "Professor" as the premier provider of personalized academic and professional development solutions. The strategy focuses on addressing critical gaps in high-end tutoring, executive coaching, and curriculum enhancement for both international institutions and Emirati nationals seeking excellence. This Marketing Plan positions "Professor" not merely as a service provider but as a catalyst for academic transformation within the United Arab Emirates Dubai landscape.</w:t>
      </w:r>
    </w:p>
    <w:bookmarkEnd w:id="20"/>
    <w:bookmarkStart w:id="21" w:name="X136678945d950c5793248bd4581f594829a300c"/>
    <w:p>
      <w:pPr>
        <w:pStyle w:val="Heading2"/>
      </w:pPr>
      <w:r>
        <w:t xml:space="preserve">Market Analysis: Dubai &amp; UAE Education Landscape</w:t>
      </w:r>
    </w:p>
    <w:p>
      <w:pPr>
        <w:pStyle w:val="FirstParagraph"/>
      </w:pPr>
      <w:r>
        <w:t xml:space="preserve">Dubai's education sector is characterized by exceptional growth, driven by its status as an international academic destination. The United Arab Emirates government actively invests in education through initiatives like "Tawteen" and the Knowledge and Human Development Authority (KHDA), aiming to elevate local educational standards to global benchmarks. Over 150 international schools and numerous universities operate within Dubai, serving a diverse population with high demand for personalized academic support. Crucially, the UAE’s youth bulge (over 70% under 30) fuels a massive market for premium learning solutions. However, a significant gap exists in *truly customized* educational experiences that respect cultural context while delivering Western academic rigor—a void "Professor" is uniquely positioned to fill.</w:t>
      </w:r>
    </w:p>
    <w:bookmarkEnd w:id="21"/>
    <w:bookmarkStart w:id="22" w:name="target-audience"/>
    <w:p>
      <w:pPr>
        <w:pStyle w:val="Heading2"/>
      </w:pPr>
      <w:r>
        <w:t xml:space="preserve">Target Audience</w:t>
      </w:r>
    </w:p>
    <w:p>
      <w:pPr>
        <w:pStyle w:val="FirstParagraph"/>
      </w:pPr>
      <w:r>
        <w:t xml:space="preserve">The primary target segments for "Professor" in Dubai are:</w:t>
      </w:r>
    </w:p>
    <w:p>
      <w:pPr>
        <w:numPr>
          <w:ilvl w:val="0"/>
          <w:numId w:val="1001"/>
        </w:numPr>
        <w:pStyle w:val="Compact"/>
      </w:pPr>
      <w:r>
        <w:rPr>
          <w:bCs/>
          <w:b/>
        </w:rPr>
        <w:t xml:space="preserve">High-Net-Worth Families (Expatriate &amp; Emirati):</w:t>
      </w:r>
      <w:r>
        <w:t xml:space="preserve"> </w:t>
      </w:r>
      <w:r>
        <w:t xml:space="preserve">Seeking elite academic support for children from Grade 6 upwards, prioritizing university admissions to top global institutions. They value discretion, cultural alignment, and measurable results.</w:t>
      </w:r>
    </w:p>
    <w:p>
      <w:pPr>
        <w:numPr>
          <w:ilvl w:val="0"/>
          <w:numId w:val="1001"/>
        </w:numPr>
        <w:pStyle w:val="Compact"/>
      </w:pPr>
      <w:r>
        <w:rPr>
          <w:bCs/>
          <w:b/>
        </w:rPr>
        <w:t xml:space="preserve">Corporate Executives &amp; Professionals:</w:t>
      </w:r>
      <w:r>
        <w:t xml:space="preserve"> </w:t>
      </w:r>
      <w:r>
        <w:t xml:space="preserve">Working in Dubai’s finance, healthcare, and tech sectors requiring bespoke leadership development and executive coaching aligned with UAE business culture.</w:t>
      </w:r>
    </w:p>
    <w:p>
      <w:pPr>
        <w:numPr>
          <w:ilvl w:val="0"/>
          <w:numId w:val="1001"/>
        </w:numPr>
        <w:pStyle w:val="Compact"/>
      </w:pPr>
      <w:r>
        <w:rPr>
          <w:bCs/>
          <w:b/>
        </w:rPr>
        <w:t xml:space="preserve">International Schools &amp; Universities (Dubai):</w:t>
      </w:r>
      <w:r>
        <w:t xml:space="preserve"> </w:t>
      </w:r>
      <w:r>
        <w:t xml:space="preserve">Institutions looking for specialized curriculum enhancement or faculty development programs to elevate their academic standing within the United Arab Emirates market.</w:t>
      </w:r>
    </w:p>
    <w:bookmarkEnd w:id="22"/>
    <w:bookmarkStart w:id="23" w:name="the-professor-value-proposition"/>
    <w:p>
      <w:pPr>
        <w:pStyle w:val="Heading2"/>
      </w:pPr>
      <w:r>
        <w:t xml:space="preserve">The Professor Value Proposition</w:t>
      </w:r>
    </w:p>
    <w:p>
      <w:pPr>
        <w:pStyle w:val="FirstParagraph"/>
      </w:pPr>
      <w:r>
        <w:t xml:space="preserve">"Professor" delivers a unique value proposition:</w:t>
      </w:r>
      <w:r>
        <w:t xml:space="preserve"> </w:t>
      </w:r>
      <w:r>
        <w:rPr>
          <w:iCs/>
          <w:i/>
        </w:rPr>
        <w:t xml:space="preserve">Elite, Culturally Intelligent Academic and Professional Transformation</w:t>
      </w:r>
      <w:r>
        <w:t xml:space="preserve">. Unlike generic tutoring platforms, "Professor" offers:</w:t>
      </w:r>
    </w:p>
    <w:p>
      <w:pPr>
        <w:numPr>
          <w:ilvl w:val="0"/>
          <w:numId w:val="1002"/>
        </w:numPr>
        <w:pStyle w:val="Compact"/>
      </w:pPr>
      <w:r>
        <w:rPr>
          <w:bCs/>
          <w:b/>
        </w:rPr>
        <w:t xml:space="preserve">Culturally Nuanced Instruction:</w:t>
      </w:r>
      <w:r>
        <w:t xml:space="preserve"> </w:t>
      </w:r>
      <w:r>
        <w:t xml:space="preserve">All instructors undergo rigorous UAE cultural sensitivity training to respect local norms while delivering world-class pedagogy.</w:t>
      </w:r>
    </w:p>
    <w:p>
      <w:pPr>
        <w:numPr>
          <w:ilvl w:val="0"/>
          <w:numId w:val="1002"/>
        </w:numPr>
        <w:pStyle w:val="Compact"/>
      </w:pPr>
      <w:r>
        <w:rPr>
          <w:bCs/>
          <w:b/>
        </w:rPr>
        <w:t xml:space="preserve">Hyper-Personalized Learning Paths:</w:t>
      </w:r>
      <w:r>
        <w:t xml:space="preserve"> </w:t>
      </w:r>
      <w:r>
        <w:t xml:space="preserve">AI-driven diagnostic assessments followed by bespoke 1:1 or small-group programs tailored to individual goals and learning styles.</w:t>
      </w:r>
    </w:p>
    <w:p>
      <w:pPr>
        <w:numPr>
          <w:ilvl w:val="0"/>
          <w:numId w:val="1002"/>
        </w:numPr>
        <w:pStyle w:val="Compact"/>
      </w:pPr>
      <w:r>
        <w:rPr>
          <w:bCs/>
          <w:b/>
        </w:rPr>
        <w:t xml:space="preserve">UAE-Compliant Certification &amp; Outcomes:</w:t>
      </w:r>
      <w:r>
        <w:t xml:space="preserve"> </w:t>
      </w:r>
      <w:r>
        <w:t xml:space="preserve">Programs culminate in recognized certificates aligned with UAE education standards, directly supporting university applications and career advancement within the United Arab Emirates.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"Professor" will launch with three core service lines in Dubai:</w:t>
      </w:r>
    </w:p>
    <w:p>
      <w:pPr>
        <w:numPr>
          <w:ilvl w:val="0"/>
          <w:numId w:val="1003"/>
        </w:numPr>
        <w:pStyle w:val="Compact"/>
      </w:pPr>
      <w:r>
        <w:rPr>
          <w:bCs/>
          <w:b/>
        </w:rPr>
        <w:t xml:space="preserve">Elite Academic Tutoring:</w:t>
      </w:r>
      <w:r>
        <w:t xml:space="preserve"> </w:t>
      </w:r>
      <w:r>
        <w:t xml:space="preserve">For GCSE/A-Level, IB, and AP curricula with a focus on UAE-aligned assessment strategies.</w:t>
      </w:r>
    </w:p>
    <w:p>
      <w:pPr>
        <w:numPr>
          <w:ilvl w:val="0"/>
          <w:numId w:val="1003"/>
        </w:numPr>
        <w:pStyle w:val="Compact"/>
      </w:pPr>
      <w:r>
        <w:rPr>
          <w:bCs/>
          <w:b/>
        </w:rPr>
        <w:t xml:space="preserve">Executive Leadership Programs:</w:t>
      </w:r>
      <w:r>
        <w:t xml:space="preserve"> </w:t>
      </w:r>
      <w:r>
        <w:t xml:space="preserve">Custom modules for C-suite professionals emphasizing Emirati business ethics and global market navigation.</w:t>
      </w:r>
    </w:p>
    <w:p>
      <w:pPr>
        <w:numPr>
          <w:ilvl w:val="0"/>
          <w:numId w:val="1003"/>
        </w:numPr>
        <w:pStyle w:val="Compact"/>
      </w:pPr>
      <w:r>
        <w:rPr>
          <w:bCs/>
          <w:b/>
        </w:rPr>
        <w:t xml:space="preserve">Institutional Partnerships:</w:t>
      </w:r>
      <w:r>
        <w:t xml:space="preserve"> </w:t>
      </w:r>
      <w:r>
        <w:t xml:space="preserve">Curriculum design workshops for Dubai schools, integrating UAE values with modern educational technology.</w:t>
      </w:r>
    </w:p>
    <w:bookmarkEnd w:id="24"/>
    <w:bookmarkStart w:id="25" w:name="pricing"/>
    <w:p>
      <w:pPr>
        <w:pStyle w:val="Heading3"/>
      </w:pPr>
      <w:r>
        <w:t xml:space="preserve">Pricing</w:t>
      </w:r>
    </w:p>
    <w:p>
      <w:pPr>
        <w:pStyle w:val="FirstParagraph"/>
      </w:pPr>
      <w:r>
        <w:t xml:space="preserve">Premium pricing reflects the high-value service. Initial pricing tiers include:</w:t>
      </w:r>
    </w:p>
    <w:p>
      <w:pPr>
        <w:numPr>
          <w:ilvl w:val="0"/>
          <w:numId w:val="1004"/>
        </w:numPr>
        <w:pStyle w:val="Compact"/>
      </w:pPr>
      <w:r>
        <w:t xml:space="preserve">Individual Academic Tutoring: AED 1,200 - AED 2,500 per hour (positioned as luxury service).</w:t>
      </w:r>
    </w:p>
    <w:p>
      <w:pPr>
        <w:numPr>
          <w:ilvl w:val="0"/>
          <w:numId w:val="1004"/>
        </w:numPr>
        <w:pStyle w:val="Compact"/>
      </w:pPr>
      <w:r>
        <w:t xml:space="preserve">Executive Coaching Packages: AED 15,000 - AED 45,000 for comprehensive programs.</w:t>
      </w:r>
    </w:p>
    <w:p>
      <w:pPr>
        <w:numPr>
          <w:ilvl w:val="0"/>
          <w:numId w:val="1004"/>
        </w:numPr>
        <w:pStyle w:val="Compact"/>
      </w:pPr>
      <w:r>
        <w:t xml:space="preserve">Institutional Partnerships: Custom quotes starting at AED 25,000 per school/semester.</w:t>
      </w:r>
    </w:p>
    <w:bookmarkEnd w:id="25"/>
    <w:bookmarkStart w:id="26" w:name="place-distribution"/>
    <w:p>
      <w:pPr>
        <w:pStyle w:val="Heading3"/>
      </w:pPr>
      <w:r>
        <w:t xml:space="preserve">Place (Distribution)</w:t>
      </w:r>
    </w:p>
    <w:p>
      <w:pPr>
        <w:pStyle w:val="FirstParagraph"/>
      </w:pPr>
      <w:r>
        <w:t xml:space="preserve">"Professor" will operate primarily through a Dubai-based headquarters in Dubai Knowledge Village, with a dedicated mobile service for corporate clients. Key distribution channels include:</w:t>
      </w:r>
    </w:p>
    <w:p>
      <w:pPr>
        <w:numPr>
          <w:ilvl w:val="0"/>
          <w:numId w:val="1005"/>
        </w:numPr>
        <w:pStyle w:val="Compact"/>
      </w:pPr>
      <w:r>
        <w:t xml:space="preserve">Direct sales team targeting schools and corporations.</w:t>
      </w:r>
    </w:p>
    <w:p>
      <w:pPr>
        <w:numPr>
          <w:ilvl w:val="0"/>
          <w:numId w:val="1005"/>
        </w:numPr>
        <w:pStyle w:val="Compact"/>
      </w:pPr>
      <w:r>
        <w:t xml:space="preserve">Strategic partnerships with luxury real estate developers (e.g., Emaar, DAMAC) to offer "Professor" services as exclusive amenities for high-end residential communities in Dubai.</w:t>
      </w:r>
    </w:p>
    <w:p>
      <w:pPr>
        <w:numPr>
          <w:ilvl w:val="0"/>
          <w:numId w:val="1005"/>
        </w:numPr>
        <w:pStyle w:val="Compact"/>
      </w:pPr>
      <w:r>
        <w:t xml:space="preserve">A sophisticated, Arabic/English bilingual website with seamless booking integration.</w:t>
      </w:r>
    </w:p>
    <w:bookmarkEnd w:id="26"/>
    <w:bookmarkStart w:id="27" w:name="promotion"/>
    <w:p>
      <w:pPr>
        <w:pStyle w:val="Heading3"/>
      </w:pPr>
      <w:r>
        <w:t xml:space="preserve">Promotion</w:t>
      </w:r>
    </w:p>
    <w:p>
      <w:pPr>
        <w:pStyle w:val="FirstParagraph"/>
      </w:pPr>
      <w:r>
        <w:t xml:space="preserve">Our integrated promotional strategy leverages Dubai’s media landscape and cultural touchpoints:</w:t>
      </w:r>
    </w:p>
    <w:p>
      <w:pPr>
        <w:numPr>
          <w:ilvl w:val="0"/>
          <w:numId w:val="1006"/>
        </w:numPr>
        <w:pStyle w:val="Compact"/>
      </w:pPr>
      <w:r>
        <w:rPr>
          <w:bCs/>
          <w:b/>
        </w:rPr>
        <w:t xml:space="preserve">Experiential Marketing:</w:t>
      </w:r>
      <w:r>
        <w:t xml:space="preserve"> </w:t>
      </w:r>
      <w:r>
        <w:t xml:space="preserve">Host exclusive "Academic Excellence" workshops at luxury venues like The Ritz-Carlton, Dubai, featuring renowned educators discussing UAE education pathways.</w:t>
      </w:r>
    </w:p>
    <w:p>
      <w:pPr>
        <w:numPr>
          <w:ilvl w:val="0"/>
          <w:numId w:val="1006"/>
        </w:numPr>
        <w:pStyle w:val="Compact"/>
      </w:pPr>
      <w:r>
        <w:rPr>
          <w:bCs/>
          <w:b/>
        </w:rPr>
        <w:t xml:space="preserve">Strategic Partnerships:</w:t>
      </w:r>
      <w:r>
        <w:t xml:space="preserve"> </w:t>
      </w:r>
      <w:r>
        <w:t xml:space="preserve">Collaborate with UAE-based influencers in education (e.g., respected school principals) and corporate leaders for authentic endorsements.</w:t>
      </w:r>
    </w:p>
    <w:p>
      <w:pPr>
        <w:numPr>
          <w:ilvl w:val="0"/>
          <w:numId w:val="1006"/>
        </w:numPr>
        <w:pStyle w:val="Compact"/>
      </w:pPr>
      <w:r>
        <w:rPr>
          <w:bCs/>
          <w:b/>
        </w:rPr>
        <w:t xml:space="preserve">Digital Precision Targeting:</w:t>
      </w:r>
      <w:r>
        <w:t xml:space="preserve"> </w:t>
      </w:r>
      <w:r>
        <w:t xml:space="preserve">LinkedIn ads targeting Dubai professionals; Instagram campaigns showcasing student success stories within Dubai's cultural context; SEO optimized for "top tutoring Dubai" and "executive coaching UAE".</w:t>
      </w:r>
    </w:p>
    <w:p>
      <w:pPr>
        <w:numPr>
          <w:ilvl w:val="0"/>
          <w:numId w:val="1006"/>
        </w:numPr>
        <w:pStyle w:val="Compact"/>
      </w:pPr>
      <w:r>
        <w:rPr>
          <w:bCs/>
          <w:b/>
        </w:rPr>
        <w:t xml:space="preserve">Community Engagement:</w:t>
      </w:r>
      <w:r>
        <w:t xml:space="preserve"> </w:t>
      </w:r>
      <w:r>
        <w:t xml:space="preserve">Sponsor events at the Dubai International Academic City and contribute to KHDA initiatives to build credibility.</w:t>
      </w:r>
    </w:p>
    <w:bookmarkEnd w:id="27"/>
    <w:bookmarkEnd w:id="28"/>
    <w:bookmarkStart w:id="29" w:name="cultural-regulatory-alignment"/>
    <w:p>
      <w:pPr>
        <w:pStyle w:val="Heading2"/>
      </w:pPr>
      <w:r>
        <w:t xml:space="preserve">Cultural &amp; Regulatory Alignment</w:t>
      </w:r>
    </w:p>
    <w:p>
      <w:pPr>
        <w:pStyle w:val="FirstParagraph"/>
      </w:pPr>
      <w:r>
        <w:t xml:space="preserve">This Marketing Plan meticulously adheres to UAE regulations. "Professor" ensures all content complies with Dubai’s cultural norms and education standards. Marketing materials emphasize respect for Emirati values, Islamic principles where relevant, and the service’s contribution to national development goals like "UAE Centennial 2071." All contracts are drafted in Arabic and English, reflecting Dubai's bilingual business environment.</w:t>
      </w:r>
    </w:p>
    <w:bookmarkEnd w:id="29"/>
    <w:bookmarkStart w:id="30" w:name="measurement-kpis"/>
    <w:p>
      <w:pPr>
        <w:pStyle w:val="Heading2"/>
      </w:pPr>
      <w:r>
        <w:t xml:space="preserve">Measurement &amp; KPIs</w:t>
      </w:r>
    </w:p>
    <w:p>
      <w:pPr>
        <w:pStyle w:val="FirstParagraph"/>
      </w:pPr>
      <w:r>
        <w:t xml:space="preserve">Success will be measured through:</w:t>
      </w:r>
    </w:p>
    <w:p>
      <w:pPr>
        <w:numPr>
          <w:ilvl w:val="0"/>
          <w:numId w:val="1007"/>
        </w:numPr>
        <w:pStyle w:val="Compact"/>
      </w:pPr>
      <w:r>
        <w:rPr>
          <w:bCs/>
          <w:b/>
        </w:rPr>
        <w:t xml:space="preserve">Market Penetration:</w:t>
      </w:r>
      <w:r>
        <w:t xml:space="preserve"> </w:t>
      </w:r>
      <w:r>
        <w:t xml:space="preserve">Achieve 5% market share among premium academic tutoring providers in Dubai within Year 1.</w:t>
      </w:r>
    </w:p>
    <w:p>
      <w:pPr>
        <w:numPr>
          <w:ilvl w:val="0"/>
          <w:numId w:val="1007"/>
        </w:numPr>
        <w:pStyle w:val="Compact"/>
      </w:pPr>
      <w:r>
        <w:rPr>
          <w:bCs/>
          <w:b/>
        </w:rPr>
        <w:t xml:space="preserve">Customer Acquisition Cost (CAC):</w:t>
      </w:r>
      <w:r>
        <w:t xml:space="preserve"> </w:t>
      </w:r>
      <w:r>
        <w:t xml:space="preserve">Maintain CAC below AED 3,000 per high-value client.</w:t>
      </w:r>
    </w:p>
    <w:p>
      <w:pPr>
        <w:numPr>
          <w:ilvl w:val="0"/>
          <w:numId w:val="1007"/>
        </w:numPr>
        <w:pStyle w:val="Compact"/>
      </w:pPr>
      <w:r>
        <w:rPr>
          <w:bCs/>
          <w:b/>
        </w:rPr>
        <w:t xml:space="preserve">NPS &amp; Retention:</w:t>
      </w:r>
      <w:r>
        <w:t xml:space="preserve"> </w:t>
      </w:r>
      <w:r>
        <w:t xml:space="preserve">Achieve Net Promoter Score (NPS) of 75+ and 85% retention rate for institutional clients within Year 1.</w:t>
      </w:r>
    </w:p>
    <w:p>
      <w:pPr>
        <w:numPr>
          <w:ilvl w:val="0"/>
          <w:numId w:val="1007"/>
        </w:numPr>
        <w:pStyle w:val="Compact"/>
      </w:pPr>
      <w:r>
        <w:rPr>
          <w:bCs/>
          <w:b/>
        </w:rPr>
        <w:t xml:space="preserve">Brand Perception:</w:t>
      </w:r>
      <w:r>
        <w:t xml:space="preserve"> </w:t>
      </w:r>
      <w:r>
        <w:t xml:space="preserve">Secure feature in at least two major Dubai business publications (e.g., Gulf News, Arabian Business) within six months.</w:t>
      </w:r>
    </w:p>
    <w:bookmarkEnd w:id="30"/>
    <w:bookmarkStart w:id="31" w:name="conclusion"/>
    <w:p>
      <w:pPr>
        <w:pStyle w:val="Heading2"/>
      </w:pPr>
      <w:r>
        <w:t xml:space="preserve">Conclusion</w:t>
      </w:r>
    </w:p>
    <w:p>
      <w:pPr>
        <w:pStyle w:val="FirstParagraph"/>
      </w:pPr>
      <w:r>
        <w:t xml:space="preserve">This Marketing Plan establishes "Professor" as the definitive brand for transformative educational excellence within the United Arab Emirates Dubai market. By merging world-class pedagogy with deep cultural intelligence, "Professor" directly addresses an unmet need while supporting Dubai’s broader vision of becoming a knowledge economy leader. The strategic focus on high-value segments, culturally resonant positioning, and disciplined execution will position "Professor" as synonymous with academic excellence in the United Arab Emirates. This Marketing Plan is not merely a document—it is the launchpad for "Professor" to become an indispensable partner in Dubai’s educational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United Arab Emirates Dubai</dc:title>
  <dc:creator/>
  <dc:language>en</dc:language>
  <cp:keywords/>
  <dcterms:created xsi:type="dcterms:W3CDTF">2026-07-23T22:48:50Z</dcterms:created>
  <dcterms:modified xsi:type="dcterms:W3CDTF">2026-07-23T22:48:50Z</dcterms:modified>
</cp:coreProperties>
</file>

<file path=docProps/custom.xml><?xml version="1.0" encoding="utf-8"?>
<Properties xmlns="http://schemas.openxmlformats.org/officeDocument/2006/custom-properties" xmlns:vt="http://schemas.openxmlformats.org/officeDocument/2006/docPropsVTypes"/>
</file>