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1" w:name="Xeb345539c8637dfe3c933938b70e7311b7dcbee"/>
    <w:p>
      <w:pPr>
        <w:pStyle w:val="Heading1"/>
      </w:pPr>
      <w:r>
        <w:t xml:space="preserve">Comprehensive Marketing Plan: Elevating Psychiatrist Services in Australia Melbourne</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psychiatric practice within the dynamic healthcare landscape of Australia Melbourne. Focused on delivering accessible, culturally competent mental health care, this plan positions our Psychiatrist as a trusted leader in addressing Melbourne’s unique mental health challenges. By leveraging local insights, digital innovation, and community engagement, we aim to achieve 40% patient acquisition growth within 18 months while reinforcing the practice's reputation as a cornerstone of Australia Melbourne's mental wellness ecosystem.</w:t>
      </w:r>
    </w:p>
    <w:bookmarkEnd w:id="20"/>
    <w:bookmarkStart w:id="21" w:name="Xe15df6e760e35a61bcda423d500f6c5dae1b5b7"/>
    <w:p>
      <w:pPr>
        <w:pStyle w:val="Heading2"/>
      </w:pPr>
      <w:r>
        <w:t xml:space="preserve">Market Analysis: Australia Melbourne Context</w:t>
      </w:r>
    </w:p>
    <w:p>
      <w:pPr>
        <w:pStyle w:val="FirstParagraph"/>
      </w:pPr>
      <w:r>
        <w:t xml:space="preserve">Melbourne’s mental health needs are acute and multifaceted. As the most populous city in Australia, Melbourne faces significant challenges including high stress levels linked to urban living, diverse cultural communities requiring linguistically appropriate care, and rising demand for specialist psychiatric services (Mental Health Australia, 2023). Current gaps include limited culturally safe psychiatry options in outer suburbs and a shortage of practitioners specializing in trauma-informed care for Melbourne’s Indigenous population. This Marketing Plan directly addresses these gaps by positioning our Psychiatrist as a solution tailored to Australia Melbourne's demographic realities.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Melbourne Metropolitan Residents:</w:t>
      </w:r>
      <w:r>
        <w:t xml:space="preserve"> </w:t>
      </w:r>
      <w:r>
        <w:t xml:space="preserve">Adults aged 25-55 in high-demand suburbs (e.g., South Yarra, Brunswick, Docklands) seeking confidential care without long wait times.</w:t>
      </w:r>
    </w:p>
    <w:p>
      <w:pPr>
        <w:numPr>
          <w:ilvl w:val="0"/>
          <w:numId w:val="1001"/>
        </w:numPr>
        <w:pStyle w:val="Compact"/>
      </w:pPr>
      <w:r>
        <w:rPr>
          <w:bCs/>
          <w:b/>
        </w:rPr>
        <w:t xml:space="preserve">Cultural &amp; Linguistic Diverse Communities:</w:t>
      </w:r>
      <w:r>
        <w:t xml:space="preserve"> </w:t>
      </w:r>
      <w:r>
        <w:t xml:space="preserve">Focus on Vietnamese, Greek, Indian and Indigenous populations through culturally adapted outreach.</w:t>
      </w:r>
    </w:p>
    <w:p>
      <w:pPr>
        <w:numPr>
          <w:ilvl w:val="0"/>
          <w:numId w:val="1001"/>
        </w:numPr>
        <w:pStyle w:val="Compact"/>
      </w:pPr>
      <w:r>
        <w:rPr>
          <w:bCs/>
          <w:b/>
        </w:rPr>
        <w:t xml:space="preserve">Referring GPs &amp; Allied Health Professionals:</w:t>
      </w:r>
      <w:r>
        <w:t xml:space="preserve"> </w:t>
      </w:r>
      <w:r>
        <w:t xml:space="preserve">Building partnerships with Melbourne clinics (e.g., at East Melbourne Medical Centre) for seamless care coordination.</w:t>
      </w:r>
    </w:p>
    <w:p>
      <w:pPr>
        <w:numPr>
          <w:ilvl w:val="0"/>
          <w:numId w:val="1001"/>
        </w:numPr>
        <w:pStyle w:val="Compact"/>
      </w:pPr>
      <w:r>
        <w:rPr>
          <w:bCs/>
          <w:b/>
        </w:rPr>
        <w:t xml:space="preserve">Youth &amp; Young Adults:</w:t>
      </w:r>
      <w:r>
        <w:t xml:space="preserve"> </w:t>
      </w:r>
      <w:r>
        <w:t xml:space="preserve">Targeting headspace Melbourne and university communities via digital campaigns addressing anxiety/depression.</w:t>
      </w:r>
    </w:p>
    <w:bookmarkEnd w:id="22"/>
    <w:bookmarkStart w:id="23" w:name="Xbd1c0a204b7b90dff1fa6e6232d64d39cce3107"/>
    <w:p>
      <w:pPr>
        <w:pStyle w:val="Heading2"/>
      </w:pPr>
      <w:r>
        <w:t xml:space="preserve">Unique Value Proposition: The Australia Melbourne Psychiatrist</w:t>
      </w:r>
    </w:p>
    <w:p>
      <w:pPr>
        <w:pStyle w:val="FirstParagraph"/>
      </w:pPr>
      <w:r>
        <w:t xml:space="preserve">Our Psychiatrist offers a distinct advantage through three pillars:</w:t>
      </w:r>
    </w:p>
    <w:p>
      <w:pPr>
        <w:numPr>
          <w:ilvl w:val="0"/>
          <w:numId w:val="1002"/>
        </w:numPr>
        <w:pStyle w:val="Compact"/>
      </w:pPr>
      <w:r>
        <w:rPr>
          <w:bCs/>
          <w:b/>
        </w:rPr>
        <w:t xml:space="preserve">Cultural Intelligence:</w:t>
      </w:r>
      <w:r>
        <w:t xml:space="preserve"> </w:t>
      </w:r>
      <w:r>
        <w:t xml:space="preserve">Clinician certified in cross-cultural psychiatry, fluent in Vietnamese and Greek to serve Melbourne’s multicultural fabric.</w:t>
      </w:r>
    </w:p>
    <w:p>
      <w:pPr>
        <w:numPr>
          <w:ilvl w:val="0"/>
          <w:numId w:val="1002"/>
        </w:numPr>
        <w:pStyle w:val="Compact"/>
      </w:pPr>
      <w:r>
        <w:rPr>
          <w:bCs/>
          <w:b/>
        </w:rPr>
        <w:t xml:space="preserve">Melbourne-Specific Expertise:</w:t>
      </w:r>
      <w:r>
        <w:t xml:space="preserve"> </w:t>
      </w:r>
      <w:r>
        <w:t xml:space="preserve">Specialization in urban stressors (e.g., housing insecurity, work-related anxiety) prevalent across Australia Melbourne.</w:t>
      </w:r>
    </w:p>
    <w:p>
      <w:pPr>
        <w:numPr>
          <w:ilvl w:val="0"/>
          <w:numId w:val="1002"/>
        </w:numPr>
        <w:pStyle w:val="Compact"/>
      </w:pPr>
      <w:r>
        <w:rPr>
          <w:bCs/>
          <w:b/>
        </w:rPr>
        <w:t xml:space="preserve">Medicare-Optimized Access:</w:t>
      </w:r>
      <w:r>
        <w:t xml:space="preserve"> </w:t>
      </w:r>
      <w:r>
        <w:t xml:space="preserve">Full Medicare provider status with transparent rebate guidance – critical for Australian patients avoiding financial barriers.</w:t>
      </w:r>
    </w:p>
    <w:p>
      <w:pPr>
        <w:pStyle w:val="FirstParagraph"/>
      </w:pPr>
      <w:r>
        <w:t xml:space="preserve">This differentiates us from generic psychiatry practices in Australia Melbourne by embedding local relevance into every service touchpoint.</w:t>
      </w:r>
    </w:p>
    <w:bookmarkEnd w:id="23"/>
    <w:bookmarkStart w:id="27" w:name="strategic-marketing-initiatives"/>
    <w:p>
      <w:pPr>
        <w:pStyle w:val="Heading2"/>
      </w:pPr>
      <w:r>
        <w:t xml:space="preserve">Strategic Marketing Initiatives</w:t>
      </w:r>
    </w:p>
    <w:bookmarkStart w:id="24" w:name="Xd262fbad89867d7bf736b6e5b7f0afac105ff79"/>
    <w:p>
      <w:pPr>
        <w:pStyle w:val="Heading3"/>
      </w:pPr>
      <w:r>
        <w:t xml:space="preserve">Digital &amp; Community Outreach (Australia Melbourne Focus)</w:t>
      </w:r>
    </w:p>
    <w:p>
      <w:pPr>
        <w:numPr>
          <w:ilvl w:val="0"/>
          <w:numId w:val="1003"/>
        </w:numPr>
        <w:pStyle w:val="Compact"/>
      </w:pPr>
      <w:r>
        <w:rPr>
          <w:bCs/>
          <w:b/>
        </w:rPr>
        <w:t xml:space="preserve">Hyperlocal SEO:</w:t>
      </w:r>
      <w:r>
        <w:t xml:space="preserve"> </w:t>
      </w:r>
      <w:r>
        <w:t xml:space="preserve">Optimize Google Business Profile for keywords like "psychiatrist near me Melbourne," "culturally safe psychiatrist Australia," and suburb-specific terms (e.g., "psychiatrist in Northcote").</w:t>
      </w:r>
    </w:p>
    <w:p>
      <w:pPr>
        <w:numPr>
          <w:ilvl w:val="0"/>
          <w:numId w:val="1003"/>
        </w:numPr>
        <w:pStyle w:val="Compact"/>
      </w:pPr>
      <w:r>
        <w:rPr>
          <w:bCs/>
          <w:b/>
        </w:rPr>
        <w:t xml:space="preserve">Community Partnerships:</w:t>
      </w:r>
      <w:r>
        <w:t xml:space="preserve"> </w:t>
      </w:r>
      <w:r>
        <w:t xml:space="preserve">Collaborate with Melbourne organizations: headspace Southbank, beyondblue’s local events, and Victorian Aboriginal Health Services to co-host workshops on mental health in Australia Melbourne.</w:t>
      </w:r>
    </w:p>
    <w:p>
      <w:pPr>
        <w:numPr>
          <w:ilvl w:val="0"/>
          <w:numId w:val="1003"/>
        </w:numPr>
        <w:pStyle w:val="Compact"/>
      </w:pPr>
      <w:r>
        <w:rPr>
          <w:bCs/>
          <w:b/>
        </w:rPr>
        <w:t xml:space="preserve">Digital Content:</w:t>
      </w:r>
      <w:r>
        <w:t xml:space="preserve"> </w:t>
      </w:r>
      <w:r>
        <w:t xml:space="preserve">Publish blog articles addressing Melbourne-specific concerns: "Navigating Mental Health During the AFL Season," "Mental Wellness for Multicultural Families in Melbourne."</w:t>
      </w:r>
    </w:p>
    <w:bookmarkEnd w:id="24"/>
    <w:bookmarkStart w:id="25" w:name="trust-building-referral-engine"/>
    <w:p>
      <w:pPr>
        <w:pStyle w:val="Heading3"/>
      </w:pPr>
      <w:r>
        <w:t xml:space="preserve">Trust-Building &amp; Referral Engine</w:t>
      </w:r>
    </w:p>
    <w:p>
      <w:pPr>
        <w:pStyle w:val="FirstParagraph"/>
      </w:pPr>
      <w:r>
        <w:t xml:space="preserve">Develop a structured referral network with 50+ Melbourne GPs via:</w:t>
      </w:r>
    </w:p>
    <w:p>
      <w:pPr>
        <w:numPr>
          <w:ilvl w:val="0"/>
          <w:numId w:val="1004"/>
        </w:numPr>
        <w:pStyle w:val="Compact"/>
      </w:pPr>
      <w:r>
        <w:t xml:space="preserve">Hosting quarterly "Mental Health First Aid" workshops at local clinics (e.g., in Carlton).</w:t>
      </w:r>
    </w:p>
    <w:p>
      <w:pPr>
        <w:numPr>
          <w:ilvl w:val="0"/>
          <w:numId w:val="1004"/>
        </w:numPr>
        <w:pStyle w:val="Compact"/>
      </w:pPr>
      <w:r>
        <w:t xml:space="preserve">Creating a dedicated referral portal on our website for Victorian healthcare providers, streamlining Medicare billing processes.</w:t>
      </w:r>
    </w:p>
    <w:p>
      <w:pPr>
        <w:numPr>
          <w:ilvl w:val="0"/>
          <w:numId w:val="1004"/>
        </w:numPr>
        <w:pStyle w:val="Compact"/>
      </w:pPr>
      <w:r>
        <w:t xml:space="preserve">Generating patient testimonials featuring Melbourne residents (e.g., "As a Melbourne-based teacher, I needed accessible care – this Psychiatrist understood my context").</w:t>
      </w:r>
    </w:p>
    <w:bookmarkEnd w:id="25"/>
    <w:bookmarkStart w:id="26" w:name="service-differentiation-patient-journey"/>
    <w:p>
      <w:pPr>
        <w:pStyle w:val="Heading3"/>
      </w:pPr>
      <w:r>
        <w:t xml:space="preserve">Service Differentiation &amp; Patient Journey</w:t>
      </w:r>
    </w:p>
    <w:p>
      <w:pPr>
        <w:pStyle w:val="FirstParagraph"/>
      </w:pPr>
      <w:r>
        <w:t xml:space="preserve">The Marketing Plan integrates service design with local needs:</w:t>
      </w:r>
    </w:p>
    <w:p>
      <w:pPr>
        <w:numPr>
          <w:ilvl w:val="0"/>
          <w:numId w:val="1005"/>
        </w:numPr>
        <w:pStyle w:val="Compact"/>
      </w:pPr>
      <w:r>
        <w:rPr>
          <w:bCs/>
          <w:b/>
        </w:rPr>
        <w:t xml:space="preserve">Telepsychiatry Options:</w:t>
      </w:r>
      <w:r>
        <w:t xml:space="preserve"> </w:t>
      </w:r>
      <w:r>
        <w:t xml:space="preserve">Offer virtual consultations (aligned with Medicare’s telehealth rebates) for patients in outer Melbourne suburbs like Craigieburn or Dandenong, eliminating transport barriers.</w:t>
      </w:r>
    </w:p>
    <w:p>
      <w:pPr>
        <w:numPr>
          <w:ilvl w:val="0"/>
          <w:numId w:val="1005"/>
        </w:numPr>
        <w:pStyle w:val="Compact"/>
      </w:pPr>
      <w:r>
        <w:rPr>
          <w:bCs/>
          <w:b/>
        </w:rPr>
        <w:t xml:space="preserve">Scheduling Flexibility:</w:t>
      </w:r>
      <w:r>
        <w:t xml:space="preserve"> </w:t>
      </w:r>
      <w:r>
        <w:t xml:space="preserve">Extend hours to evenings/weekends – critical for Melbourne’s working population seeking after-work appointments.</w:t>
      </w:r>
    </w:p>
    <w:p>
      <w:pPr>
        <w:numPr>
          <w:ilvl w:val="0"/>
          <w:numId w:val="1005"/>
        </w:numPr>
        <w:pStyle w:val="Compact"/>
      </w:pPr>
      <w:r>
        <w:rPr>
          <w:bCs/>
          <w:b/>
        </w:rPr>
        <w:t xml:space="preserve">Cultural Safety Certification:</w:t>
      </w:r>
      <w:r>
        <w:t xml:space="preserve"> </w:t>
      </w:r>
      <w:r>
        <w:t xml:space="preserve">Display credentials from the Australian Indigenous Psychiatric Association on all materials to build trust within Aboriginal communities across Australia Melbourne.</w:t>
      </w:r>
    </w:p>
    <w:bookmarkEnd w:id="26"/>
    <w:bookmarkEnd w:id="27"/>
    <w:bookmarkStart w:id="28" w:name="budget-timeline"/>
    <w:p>
      <w:pPr>
        <w:pStyle w:val="Heading2"/>
      </w:pPr>
      <w:r>
        <w:t xml:space="preserve">Budget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Timeline (Months)</w:t>
            </w:r>
          </w:p>
        </w:tc>
        <w:tc>
          <w:tcPr/>
          <w:p>
            <w:pPr>
              <w:pStyle w:val="Compact"/>
              <w:jc w:val="left"/>
            </w:pPr>
            <w:r>
              <w:t xml:space="preserve">Allocation (% of Budget)</w:t>
            </w:r>
          </w:p>
        </w:tc>
      </w:tr>
      <w:tr>
        <w:tc>
          <w:tcPr/>
          <w:p>
            <w:pPr>
              <w:pStyle w:val="Compact"/>
              <w:jc w:val="left"/>
            </w:pPr>
            <w:r>
              <w:t xml:space="preserve">Digital Campaigns (SEO, Social Ads targeting Melbourne)</w:t>
            </w:r>
          </w:p>
        </w:tc>
        <w:tc>
          <w:tcPr/>
          <w:p>
            <w:pPr>
              <w:pStyle w:val="Compact"/>
              <w:jc w:val="left"/>
            </w:pPr>
            <w:r>
              <w:t xml:space="preserve">1-12</w:t>
            </w:r>
          </w:p>
        </w:tc>
        <w:tc>
          <w:tcPr/>
          <w:p>
            <w:pPr>
              <w:pStyle w:val="Compact"/>
              <w:jc w:val="left"/>
            </w:pPr>
            <w:r>
              <w:t xml:space="preserve">40%</w:t>
            </w:r>
          </w:p>
        </w:tc>
      </w:tr>
      <w:tr>
        <w:tc>
          <w:tcPr/>
          <w:p>
            <w:pPr>
              <w:pStyle w:val="Compact"/>
              <w:jc w:val="left"/>
            </w:pPr>
            <w:r>
              <w:t xml:space="preserve">Community Partnerships &amp; Events</w:t>
            </w:r>
          </w:p>
        </w:tc>
        <w:tc>
          <w:tcPr/>
          <w:p>
            <w:pPr>
              <w:pStyle w:val="Compact"/>
              <w:jc w:val="left"/>
            </w:pPr>
            <w:r>
              <w:t xml:space="preserve">3-18</w:t>
            </w:r>
          </w:p>
        </w:tc>
        <w:tc>
          <w:tcPr/>
          <w:p>
            <w:pPr>
              <w:pStyle w:val="Compact"/>
              <w:jc w:val="left"/>
            </w:pPr>
            <w:r>
              <w:t xml:space="preserve">30%</w:t>
            </w:r>
          </w:p>
        </w:tc>
      </w:tr>
      <w:tr>
        <w:tc>
          <w:tcPr/>
          <w:p>
            <w:pPr>
              <w:pStyle w:val="Compact"/>
              <w:jc w:val="left"/>
            </w:pPr>
            <w:r>
              <w:t xml:space="preserve">Referral Program Development</w:t>
            </w:r>
          </w:p>
        </w:tc>
        <w:tc>
          <w:tcPr/>
          <w:p>
            <w:pPr>
              <w:pStyle w:val="Compact"/>
            </w:pPr>
          </w:p>
        </w:tc>
        <w:tc>
          <w:tcPr/>
          <w:p>
            <w:pPr>
              <w:pStyle w:val="Compact"/>
            </w:pPr>
          </w:p>
        </w:tc>
      </w:tr>
      <w:tr>
        <w:tc>
          <w:tcPr/>
          <w:p>
            <w:pPr>
              <w:pStyle w:val="Compact"/>
              <w:jc w:val="left"/>
            </w:pPr>
            <w:r>
              <w:t xml:space="preserve">6-12</w:t>
            </w:r>
          </w:p>
        </w:tc>
        <w:tc>
          <w:tcPr/>
          <w:p>
            <w:pPr>
              <w:pStyle w:val="Compact"/>
              <w:jc w:val="left"/>
            </w:pPr>
            <w:r>
              <w:t xml:space="preserve">20%</w:t>
            </w:r>
          </w:p>
        </w:tc>
        <w:tc>
          <w:tcPr/>
          <w:p>
            <w:pPr>
              <w:pStyle w:val="Compact"/>
            </w:pPr>
          </w:p>
        </w:tc>
      </w:tr>
      <w:tr>
        <w:tc>
          <w:tcPr/>
          <w:p>
            <w:pPr>
              <w:pStyle w:val="Compact"/>
              <w:jc w:val="left"/>
            </w:pPr>
            <w:r>
              <w:t xml:space="preserve">Multilingual Content &amp; Materials (Vietnamese/Greek)</w:t>
            </w:r>
          </w:p>
        </w:tc>
        <w:tc>
          <w:tcPr/>
          <w:p>
            <w:pPr>
              <w:pStyle w:val="Compact"/>
              <w:jc w:val="left"/>
            </w:pPr>
            <w:r>
              <w:t xml:space="preserve">1-6</w:t>
            </w:r>
          </w:p>
        </w:tc>
        <w:tc>
          <w:tcPr/>
          <w:p>
            <w:pPr>
              <w:pStyle w:val="Compact"/>
              <w:jc w:val="left"/>
            </w:pPr>
            <w:r>
              <w:t xml:space="preserve">10%</w:t>
            </w:r>
          </w:p>
        </w:tc>
      </w:tr>
    </w:tbl>
    <w:bookmarkEnd w:id="28"/>
    <w:bookmarkStart w:id="29" w:name="Xbda9516cd113265404bb2fcbbbb8a93c7b0e342"/>
    <w:p>
      <w:pPr>
        <w:pStyle w:val="Heading2"/>
      </w:pPr>
      <w:r>
        <w:t xml:space="preserve">Evaluation Metrics for Australia Melbourne Success</w:t>
      </w:r>
    </w:p>
    <w:p>
      <w:pPr>
        <w:pStyle w:val="FirstParagraph"/>
      </w:pPr>
      <w:r>
        <w:t xml:space="preserve">This Marketing Plan measures success through KPIs specific to Australia Melbourne:</w:t>
      </w:r>
    </w:p>
    <w:p>
      <w:pPr>
        <w:numPr>
          <w:ilvl w:val="0"/>
          <w:numId w:val="1006"/>
        </w:numPr>
        <w:pStyle w:val="Compact"/>
      </w:pPr>
      <w:r>
        <w:rPr>
          <w:bCs/>
          <w:b/>
        </w:rPr>
        <w:t xml:space="preserve">Patient Acquisition:</w:t>
      </w:r>
      <w:r>
        <w:t xml:space="preserve"> </w:t>
      </w:r>
      <w:r>
        <w:t xml:space="preserve">30% growth in new patients from target suburbs (e.g., Footscray, St Kilda).</w:t>
      </w:r>
    </w:p>
    <w:p>
      <w:pPr>
        <w:numPr>
          <w:ilvl w:val="0"/>
          <w:numId w:val="1006"/>
        </w:numPr>
        <w:pStyle w:val="Compact"/>
      </w:pPr>
      <w:r>
        <w:rPr>
          <w:bCs/>
          <w:b/>
        </w:rPr>
        <w:t xml:space="preserve">Cultural Reach:</w:t>
      </w:r>
      <w:r>
        <w:t xml:space="preserve"> </w:t>
      </w:r>
      <w:r>
        <w:t xml:space="preserve">25% of new patients from culturally diverse backgrounds within Year 1.</w:t>
      </w:r>
    </w:p>
    <w:p>
      <w:pPr>
        <w:numPr>
          <w:ilvl w:val="0"/>
          <w:numId w:val="1006"/>
        </w:numPr>
        <w:pStyle w:val="Compact"/>
      </w:pPr>
      <w:r>
        <w:rPr>
          <w:bCs/>
          <w:b/>
        </w:rPr>
        <w:t xml:space="preserve">Referral Growth:</w:t>
      </w:r>
      <w:r>
        <w:t xml:space="preserve"> </w:t>
      </w:r>
      <w:r>
        <w:t xml:space="preserve">20+ active GP partnerships by Month 9.</w:t>
      </w:r>
    </w:p>
    <w:p>
      <w:pPr>
        <w:numPr>
          <w:ilvl w:val="0"/>
          <w:numId w:val="1006"/>
        </w:numPr>
        <w:pStyle w:val="Compact"/>
      </w:pPr>
      <w:r>
        <w:rPr>
          <w:bCs/>
          <w:b/>
        </w:rPr>
        <w:t xml:space="preserve">Digital Engagement:</w:t>
      </w:r>
      <w:r>
        <w:t xml:space="preserve"> </w:t>
      </w:r>
      <w:r>
        <w:t xml:space="preserve">40% increase in website traffic from Melbourne-based searches (Google Analytics).</w:t>
      </w:r>
    </w:p>
    <w:bookmarkEnd w:id="29"/>
    <w:bookmarkStart w:id="30" w:name="conclusion"/>
    <w:p>
      <w:pPr>
        <w:pStyle w:val="Heading2"/>
      </w:pPr>
      <w:r>
        <w:t xml:space="preserve">Conclusion</w:t>
      </w:r>
    </w:p>
    <w:p>
      <w:pPr>
        <w:pStyle w:val="FirstParagraph"/>
      </w:pPr>
      <w:r>
        <w:t xml:space="preserve">This Marketing Plan ensures our Psychiatrist delivers transformative mental healthcare that resonates deeply with Australia Melbourne’s community. By centering local needs – cultural safety, urban stressors, and Medicare accessibility – we position the practice not just as a service provider, but as an essential partner in Melbourne’s mental health journey. Every strategy reinforces that this is a Psychiatry practice built for Australia Melbourne, by professionals who understand its challenges and strengths. With this focused approach, we will establish the Psychiatrist as the preferred specialist in Australia Melbourne for evidence-based, compassionate care.</w:t>
      </w:r>
    </w:p>
    <w:p>
      <w:pPr>
        <w:pStyle w:val="BodyText"/>
      </w:pPr>
      <w:r>
        <w:rPr>
          <w:iCs/>
          <w:i/>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Australia Melbourne</dc:title>
  <dc:creator/>
  <dc:language>en</dc:language>
  <cp:keywords/>
  <dcterms:created xsi:type="dcterms:W3CDTF">2026-06-02T18:00:43Z</dcterms:created>
  <dcterms:modified xsi:type="dcterms:W3CDTF">2026-06-02T18:00:43Z</dcterms:modified>
</cp:coreProperties>
</file>

<file path=docProps/custom.xml><?xml version="1.0" encoding="utf-8"?>
<Properties xmlns="http://schemas.openxmlformats.org/officeDocument/2006/custom-properties" xmlns:vt="http://schemas.openxmlformats.org/officeDocument/2006/docPropsVTypes"/>
</file>