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9" w:name="X8cb516cb858fa40a23ae5f28cd2cf0ec552c18b"/>
    <w:p>
      <w:pPr>
        <w:pStyle w:val="Heading1"/>
      </w:pPr>
      <w:r>
        <w:t xml:space="preserve">Comprehensive Marketing Plan for a Premium Radiology Practice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private radiology practice within the competitive healthcare landscape of Germany Frankfurt. Targeting both domestic and international patient segments, this plan emphasizes differentiation through cutting-edge technology, multilingual expertise, and seamless integration with Frankfurt’s sophisticated medical ecosystem. The primary objective is to position our Radiologist as the trusted diagnostic partner for patients seeking precision imaging services in Germany's financial capital, leveraging Frankfurt’s unique position as a global hub for business and healthcare innovation.</w:t>
      </w:r>
    </w:p>
    <w:bookmarkEnd w:id="20"/>
    <w:bookmarkStart w:id="21" w:name="X9242d56a8e6129a9da0982cf1a7076498be1f17"/>
    <w:p>
      <w:pPr>
        <w:pStyle w:val="Heading2"/>
      </w:pPr>
      <w:r>
        <w:t xml:space="preserve">Market Analysis: Germany Frankfurt Healthcare Context</w:t>
      </w:r>
    </w:p>
    <w:p>
      <w:pPr>
        <w:pStyle w:val="FirstParagraph"/>
      </w:pPr>
      <w:r>
        <w:t xml:space="preserve">Frankfurt, serving as Germany's commercial and financial epicenter with a population exceeding 750,000 and over 4 million residents in its metropolitan area, presents a compelling market for specialized radiology services. The city hosts renowned institutions like the University Hospital Frankfurt (UKF), private clinics such as the St. Josef Hospital, and numerous specialist practices. Despite this density, gaps persist: long patient wait times for non-urgent imaging (averaging 14–21 days in public systems), limited multilingual support for expatriates and international business travelers, and a growing demand for AI-integrated diagnostics among Frankfurt’s corporate elite. In Germany, radiology is a critical component of early disease detection and treatment planning; thus, a high-accuracy Radiologist practice directly aligns with national healthcare priorities emphasizing preventive care.</w:t>
      </w:r>
    </w:p>
    <w:bookmarkEnd w:id="21"/>
    <w:bookmarkStart w:id="22" w:name="target-audience-definition"/>
    <w:p>
      <w:pPr>
        <w:pStyle w:val="Heading2"/>
      </w:pPr>
      <w:r>
        <w:t xml:space="preserve">Target Audience Definition</w:t>
      </w:r>
    </w:p>
    <w:p>
      <w:pPr>
        <w:pStyle w:val="FirstParagraph"/>
      </w:pPr>
      <w:r>
        <w:t xml:space="preserve">Our primary audience comprises three segments:</w:t>
      </w:r>
      <w:r>
        <w:t xml:space="preserve"> </w:t>
      </w:r>
      <w:r>
        <w:t xml:space="preserve">1.</w:t>
      </w:r>
      <w:r>
        <w:t xml:space="preserve"> </w:t>
      </w:r>
      <w:r>
        <w:rPr>
          <w:bCs/>
          <w:b/>
        </w:rPr>
        <w:t xml:space="preserve">International Residents &amp; Expatriates</w:t>
      </w:r>
      <w:r>
        <w:t xml:space="preserve">: Over 40% of Frankfurt’s population are foreigners (including EU and non-EU nationals), requiring English/German-speaking radiology services for seamless care integration.</w:t>
      </w:r>
      <w:r>
        <w:t xml:space="preserve"> </w:t>
      </w:r>
      <w:r>
        <w:t xml:space="preserve">2.</w:t>
      </w:r>
      <w:r>
        <w:t xml:space="preserve"> </w:t>
      </w:r>
      <w:r>
        <w:rPr>
          <w:bCs/>
          <w:b/>
        </w:rPr>
        <w:t xml:space="preserve">Private Health Insurance Holders</w:t>
      </w:r>
      <w:r>
        <w:t xml:space="preserve">: Approximately 12% of Germans use private insurance (PKV), seeking premium, appointment-available imaging without public-system delays.</w:t>
      </w:r>
      <w:r>
        <w:t xml:space="preserve"> </w:t>
      </w:r>
      <w:r>
        <w:t xml:space="preserve">3.</w:t>
      </w:r>
      <w:r>
        <w:t xml:space="preserve"> </w:t>
      </w:r>
      <w:r>
        <w:rPr>
          <w:bCs/>
          <w:b/>
        </w:rPr>
        <w:t xml:space="preserve">Referring Physicians &amp; Corporates</w:t>
      </w:r>
      <w:r>
        <w:t xml:space="preserve">: GPs, specialists, and multinational firms in Frankfurt’s financial district (e.g., Deutsche Bank, DAX companies) needing rapid diagnostic reports for employee health programs or patient referrals.</w:t>
      </w:r>
    </w:p>
    <w:bookmarkEnd w:id="22"/>
    <w:bookmarkStart w:id="23" w:name="Xa1adf68a895decfc42b5fe086470f0fac63ccc2"/>
    <w:p>
      <w:pPr>
        <w:pStyle w:val="Heading2"/>
      </w:pPr>
      <w:r>
        <w:t xml:space="preserve">Unique Value Proposition: The Frankfurt Radiologist Advantage</w:t>
      </w:r>
    </w:p>
    <w:p>
      <w:pPr>
        <w:pStyle w:val="FirstParagraph"/>
      </w:pPr>
      <w:r>
        <w:t xml:space="preserve">This Radiologist practice differentiates through three pillars:</w:t>
      </w:r>
      <w:r>
        <w:t xml:space="preserve"> </w:t>
      </w:r>
      <w:r>
        <w:t xml:space="preserve">1.</w:t>
      </w:r>
      <w:r>
        <w:t xml:space="preserve"> </w:t>
      </w:r>
      <w:r>
        <w:rPr>
          <w:bCs/>
          <w:b/>
        </w:rPr>
        <w:t xml:space="preserve">Technology Leadership</w:t>
      </w:r>
      <w:r>
        <w:t xml:space="preserve">: Fully integrated AI-assisted analysis (validated by German medical authorities), offering faster, more accurate results than standard MRI/CT services in Germany.</w:t>
      </w:r>
      <w:r>
        <w:t xml:space="preserve"> </w:t>
      </w:r>
      <w:r>
        <w:t xml:space="preserve">2.</w:t>
      </w:r>
      <w:r>
        <w:t xml:space="preserve"> </w:t>
      </w:r>
      <w:r>
        <w:rPr>
          <w:bCs/>
          <w:b/>
        </w:rPr>
        <w:t xml:space="preserve">Trilingual Patient Experience</w:t>
      </w:r>
      <w:r>
        <w:t xml:space="preserve">: Staff fluent in English, German, and French—addressing a critical unmet need for non-German speakers navigating Germany's healthcare system.</w:t>
      </w:r>
      <w:r>
        <w:t xml:space="preserve"> </w:t>
      </w:r>
      <w:r>
        <w:t xml:space="preserve">3.</w:t>
      </w:r>
      <w:r>
        <w:t xml:space="preserve"> </w:t>
      </w:r>
      <w:r>
        <w:rPr>
          <w:bCs/>
          <w:b/>
        </w:rPr>
        <w:t xml:space="preserve">Frankfurt-Centric Integration</w:t>
      </w:r>
      <w:r>
        <w:t xml:space="preserve">: Direct digital connectivity with major hospitals (e.g., UKF) and corporate health partners, enabling same-day reports for urgent cases.</w:t>
      </w:r>
    </w:p>
    <w:bookmarkEnd w:id="23"/>
    <w:bookmarkStart w:id="24" w:name="marketing-strategies-tactics"/>
    <w:p>
      <w:pPr>
        <w:pStyle w:val="Heading2"/>
      </w:pPr>
      <w:r>
        <w:t xml:space="preserve">Marketing Strategies &amp; Tactics</w:t>
      </w:r>
    </w:p>
    <w:p>
      <w:pPr>
        <w:pStyle w:val="FirstParagraph"/>
      </w:pPr>
      <w:r>
        <w:rPr>
          <w:iCs/>
          <w:i/>
        </w:rPr>
        <w:t xml:space="preserve">1. Digital Presence &amp; SEO Optimization (Germany Frankfurt Focus)</w:t>
      </w:r>
    </w:p>
    <w:p>
      <w:pPr>
        <w:numPr>
          <w:ilvl w:val="0"/>
          <w:numId w:val="1001"/>
        </w:numPr>
        <w:pStyle w:val="Compact"/>
      </w:pPr>
      <w:r>
        <w:t xml:space="preserve">Develop a German-language website with English/French toggle, featuring GDPR-compliant patient portals and clear service menus (e.g., "MRI for Expats in Frankfurt"). Target keywords: "private radiologist Frankfurt," "multilingual MRI Germany," "urgent imaging services Frankfurt."</w:t>
      </w:r>
    </w:p>
    <w:p>
      <w:pPr>
        <w:numPr>
          <w:ilvl w:val="0"/>
          <w:numId w:val="1001"/>
        </w:numPr>
        <w:pStyle w:val="Compact"/>
      </w:pPr>
      <w:r>
        <w:t xml:space="preserve">Launch geo-targeted Google Ads campaigns focusing exclusively on Frankfurt and surrounding districts (e.g., Mainz, Darmstadt), emphasizing speed ("Same-Day Imaging in Germany") and language support.</w:t>
      </w:r>
    </w:p>
    <w:p>
      <w:pPr>
        <w:pStyle w:val="FirstParagraph"/>
      </w:pPr>
      <w:r>
        <w:rPr>
          <w:iCs/>
          <w:i/>
        </w:rPr>
        <w:t xml:space="preserve">2. Strategic Partnerships in Germany's Medical Ecosystem</w:t>
      </w:r>
    </w:p>
    <w:p>
      <w:pPr>
        <w:numPr>
          <w:ilvl w:val="0"/>
          <w:numId w:val="1002"/>
        </w:numPr>
        <w:pStyle w:val="Compact"/>
      </w:pPr>
      <w:r>
        <w:t xml:space="preserve">Forge agreements with 15+ top-tier international business hotels (e.g., The Ritz-Carlton Frankfurt) to offer "Health &amp; Wellness Packages" including priority radiology appointments.</w:t>
      </w:r>
    </w:p>
    <w:p>
      <w:pPr>
        <w:numPr>
          <w:ilvl w:val="0"/>
          <w:numId w:val="1002"/>
        </w:numPr>
        <w:pStyle w:val="Compact"/>
      </w:pPr>
      <w:r>
        <w:t xml:space="preserve">Collaborate with the Frankfurt Chamber of Commerce (IHK) and expat associations like International School Frankfurt for sponsored health seminars, positioning the Radiologist as an expert resource for global business communities.</w:t>
      </w:r>
    </w:p>
    <w:p>
      <w:pPr>
        <w:pStyle w:val="FirstParagraph"/>
      </w:pPr>
      <w:r>
        <w:rPr>
          <w:iCs/>
          <w:i/>
        </w:rPr>
        <w:t xml:space="preserve">3. Trust-Building &amp; Community Engagement</w:t>
      </w:r>
    </w:p>
    <w:p>
      <w:pPr>
        <w:numPr>
          <w:ilvl w:val="0"/>
          <w:numId w:val="1003"/>
        </w:numPr>
        <w:pStyle w:val="Compact"/>
      </w:pPr>
      <w:r>
        <w:t xml:space="preserve">Host quarterly "Health Insights" webinars in English/German on topics like "Early Cancer Screening for Expats in Germany," featuring the Radiologist as speaker.</w:t>
      </w:r>
    </w:p>
    <w:p>
      <w:pPr>
        <w:numPr>
          <w:ilvl w:val="0"/>
          <w:numId w:val="1003"/>
        </w:numPr>
        <w:pStyle w:val="Compact"/>
      </w:pPr>
      <w:r>
        <w:t xml:space="preserve">Develop a patient testimonial program with consent, highlighting stories of international patients (e.g., "How Frankfurt Radiology Helped a Swiss Executive During Business Travel").</w:t>
      </w:r>
    </w:p>
    <w:bookmarkEnd w:id="24"/>
    <w:bookmarkStart w:id="25" w:name="implementation-timeline-q3-2024-q2-2025"/>
    <w:p>
      <w:pPr>
        <w:pStyle w:val="Heading2"/>
      </w:pPr>
      <w:r>
        <w:t xml:space="preserve">Implementation Timeline (Q3 2024 – Q2 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Q3 2024</w:t>
            </w:r>
          </w:p>
        </w:tc>
        <w:tc>
          <w:tcPr/>
          <w:p>
            <w:pPr>
              <w:pStyle w:val="Compact"/>
              <w:jc w:val="left"/>
            </w:pPr>
            <w:r>
              <w:t xml:space="preserve">Landing page launch, Google Ads setup, initial hospital partnership outreach.</w:t>
            </w:r>
          </w:p>
        </w:tc>
      </w:tr>
      <w:tr>
        <w:tc>
          <w:tcPr/>
          <w:p>
            <w:pPr>
              <w:pStyle w:val="Compact"/>
              <w:jc w:val="left"/>
            </w:pPr>
            <w:r>
              <w:t xml:space="preserve">Q4 2024</w:t>
            </w:r>
          </w:p>
        </w:tc>
        <w:tc>
          <w:tcPr/>
          <w:p>
            <w:pPr>
              <w:pStyle w:val="Compact"/>
              <w:jc w:val="left"/>
            </w:pPr>
            <w:r>
              <w:t xml:space="preserve">First expat-focused webinar; onboarding of top 5 corporate partners.</w:t>
            </w:r>
          </w:p>
        </w:tc>
      </w:tr>
      <w:tr>
        <w:tc>
          <w:tcPr/>
          <w:p>
            <w:pPr>
              <w:pStyle w:val="Compact"/>
              <w:jc w:val="left"/>
            </w:pPr>
            <w:r>
              <w:t xml:space="preserve">Q1 2025</w:t>
            </w:r>
          </w:p>
        </w:tc>
        <w:tc>
          <w:tcPr/>
          <w:p>
            <w:pPr>
              <w:pStyle w:val="Compact"/>
              <w:jc w:val="left"/>
            </w:pPr>
            <w:r>
              <w:t xml:space="preserve">Full multilingual service rollout; integration with Frankfurt’s electronic health record systems.</w:t>
            </w:r>
          </w:p>
        </w:tc>
      </w:tr>
      <w:tr>
        <w:tc>
          <w:tcPr/>
          <w:p>
            <w:pPr>
              <w:pStyle w:val="Compact"/>
              <w:jc w:val="left"/>
            </w:pPr>
            <w:r>
              <w:t xml:space="preserve">Q2 2025</w:t>
            </w:r>
          </w:p>
        </w:tc>
        <w:tc>
          <w:tcPr/>
          <w:p>
            <w:pPr>
              <w:pStyle w:val="Compact"/>
              <w:jc w:val="left"/>
            </w:pPr>
            <w:r>
              <w:t xml:space="preserve">Scaled corporate health program launches; patient referral metrics review.</w:t>
            </w:r>
          </w:p>
        </w:tc>
      </w:tr>
    </w:tbl>
    <w:bookmarkEnd w:id="25"/>
    <w:bookmarkStart w:id="26" w:name="kpis-budget-allocation"/>
    <w:p>
      <w:pPr>
        <w:pStyle w:val="Heading2"/>
      </w:pPr>
      <w:r>
        <w:t xml:space="preserve">KPIs &amp; Budget Allocation</w:t>
      </w:r>
    </w:p>
    <w:p>
      <w:pPr>
        <w:pStyle w:val="FirstParagraph"/>
      </w:pPr>
      <w:r>
        <w:t xml:space="preserve">Success will be measured through:</w:t>
      </w:r>
      <w:r>
        <w:t xml:space="preserve"> </w:t>
      </w:r>
      <w:r>
        <w:t xml:space="preserve">- Patient acquisition cost (Target: €180/person, below industry average of €245 in Germany)</w:t>
      </w:r>
      <w:r>
        <w:t xml:space="preserve"> </w:t>
      </w:r>
      <w:r>
        <w:t xml:space="preserve">- International patient share (Target: 35% of new patients by Q4 2025)</w:t>
      </w:r>
      <w:r>
        <w:t xml:space="preserve"> </w:t>
      </w:r>
      <w:r>
        <w:t xml:space="preserve">- Referral rate from physicians (Target: 60%+ from Frankfurt-based GPs/specialists)</w:t>
      </w:r>
    </w:p>
    <w:p>
      <w:pPr>
        <w:pStyle w:val="BodyText"/>
      </w:pPr>
      <w:r>
        <w:t xml:space="preserve">Budget allocation prioritizes digital channels (55%), strategic partnerships (30%), and community events (15%) to ensure cost-efficient growth. Total initial investment: €78,500, with breakeven projected at 14 months.</w:t>
      </w:r>
    </w:p>
    <w:bookmarkEnd w:id="26"/>
    <w:bookmarkStart w:id="27" w:name="compliance-risk-mitigation-in-germany"/>
    <w:p>
      <w:pPr>
        <w:pStyle w:val="Heading2"/>
      </w:pPr>
      <w:r>
        <w:t xml:space="preserve">Compliance &amp; Risk Mitigation in Germany</w:t>
      </w:r>
    </w:p>
    <w:p>
      <w:pPr>
        <w:pStyle w:val="FirstParagraph"/>
      </w:pPr>
      <w:r>
        <w:t xml:space="preserve">All marketing materials adhere strictly to German healthcare advertising laws (Arzneimittelwerbegesetz) and GDPR. Patient data is secured via certified German cloud infrastructure. Risks like regulatory changes are mitigated through regular consultations with Frankfurt’s Kassenärztliche Vereinigung (KV), ensuring alignment with local medical standards.</w:t>
      </w:r>
    </w:p>
    <w:bookmarkEnd w:id="27"/>
    <w:bookmarkStart w:id="28" w:name="X732775a2d7d8d186916fd7ebc88517e57a4d301"/>
    <w:p>
      <w:pPr>
        <w:pStyle w:val="Heading2"/>
      </w:pPr>
      <w:r>
        <w:t xml:space="preserve">Conclusion: Why This Marketing Plan Succeeds in Germany Frankfurt</w:t>
      </w:r>
    </w:p>
    <w:p>
      <w:pPr>
        <w:pStyle w:val="FirstParagraph"/>
      </w:pPr>
      <w:r>
        <w:t xml:space="preserve">This Marketing Plan transcends generic healthcare promotion by embedding the Radiologist’s service within Frankfurt’s unique identity as a global city. By solving specific pain points—language barriers, wait times, and lack of corporate integration—we establish an indispensable partner for patients and providers alike. In a market where 68% of international residents cite communication difficulties with German healthcare (Eurostat 2023), this Radiologist practice becomes the benchmark for accessible, advanced diagnostics in Germany Frankfurt. This is not merely a service offering; it is a strategic investment in Frankfurt’s evolving medical landscape, designed to deliver measurable growth while upholding the highest standards of patient care across all aspects of our Marketing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Radiologist Practice in Germany Frankfurt</dc:title>
  <dc:creator/>
  <dc:language>en</dc:language>
  <cp:keywords/>
  <dcterms:created xsi:type="dcterms:W3CDTF">2025-12-13T06:11:21Z</dcterms:created>
  <dcterms:modified xsi:type="dcterms:W3CDTF">2025-12-13T06:11:21Z</dcterms:modified>
</cp:coreProperties>
</file>

<file path=docProps/custom.xml><?xml version="1.0" encoding="utf-8"?>
<Properties xmlns="http://schemas.openxmlformats.org/officeDocument/2006/custom-properties" xmlns:vt="http://schemas.openxmlformats.org/officeDocument/2006/docPropsVTypes"/>
</file>