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Germany</w:t>
      </w:r>
      <w:r>
        <w:t xml:space="preserve"> </w:t>
      </w:r>
      <w:r>
        <w:t xml:space="preserve">Frankfurt</w:t>
      </w:r>
    </w:p>
    <w:bookmarkStart w:id="28" w:name="X2b56003ca8f21028d55c11ce3acf52cc8da860c"/>
    <w:p>
      <w:pPr>
        <w:pStyle w:val="Heading1"/>
      </w:pPr>
      <w:r>
        <w:t xml:space="preserve">Marketing Plan: Strategic Sales Executive Execution for Germany Frankfurt Market</w:t>
      </w:r>
    </w:p>
    <w:bookmarkStart w:id="20" w:name="executive-summary"/>
    <w:p>
      <w:pPr>
        <w:pStyle w:val="Heading2"/>
      </w:pPr>
      <w:r>
        <w:t xml:space="preserve">Executive Summary</w:t>
      </w:r>
    </w:p>
    <w:p>
      <w:pPr>
        <w:pStyle w:val="FirstParagraph"/>
      </w:pPr>
      <w:r>
        <w:t xml:space="preserve">This comprehensive Marketing Plan outlines a targeted strategy for deploying a high-performance Sales Executive within the dynamic business ecosystem of Germany Frankfurt. As the financial capital of Europe and home to 30% of all German DAX 30 headquarters, Frankfurt represents an unparalleled opportunity for market expansion. This plan details how a dedicated Sales Executive will leverage local market intelligence, cultural nuances, and Frankfurt's unique economic landscape to achieve 25% YoY revenue growth in the region. The strategy integrates core marketing principles with hyper-localized sales execution specifically designed for Germany Frankfurt's business environment.</w:t>
      </w:r>
    </w:p>
    <w:bookmarkEnd w:id="20"/>
    <w:bookmarkStart w:id="21" w:name="Xc7ec880902e2b24a39d068867a065717762a3b8"/>
    <w:p>
      <w:pPr>
        <w:pStyle w:val="Heading2"/>
      </w:pPr>
      <w:r>
        <w:t xml:space="preserve">Market Analysis: Germany Frankfurt Context</w:t>
      </w:r>
    </w:p>
    <w:p>
      <w:pPr>
        <w:pStyle w:val="FirstParagraph"/>
      </w:pPr>
      <w:r>
        <w:t xml:space="preserve">Frankfurt am Main is not merely a city—it's a global financial nexus housing the European Central Bank, Deutsche Börse, and headquarters of major institutions like Goodyear, Allianz, and DHL. With over 150 foreign banks operating in the city and 35% of Germany's top enterprises headquartered here (Frankfurt Municipal Statistics, 2023), the market demands a Sales Executive fluent in both business strategy and local protocol. Our analysis identifies three critical opportunities:</w:t>
      </w:r>
    </w:p>
    <w:p>
      <w:pPr>
        <w:numPr>
          <w:ilvl w:val="0"/>
          <w:numId w:val="1001"/>
        </w:numPr>
        <w:pStyle w:val="Compact"/>
      </w:pPr>
      <w:r>
        <w:rPr>
          <w:bCs/>
          <w:b/>
        </w:rPr>
        <w:t xml:space="preserve">Financial Services Dominance:</w:t>
      </w:r>
      <w:r>
        <w:t xml:space="preserve"> </w:t>
      </w:r>
      <w:r>
        <w:t xml:space="preserve">Frankfurt hosts 65% of Germany's asset management firms, creating high-potential accounts for SaaS solutions tailored to banking compliance.</w:t>
      </w:r>
    </w:p>
    <w:p>
      <w:pPr>
        <w:numPr>
          <w:ilvl w:val="0"/>
          <w:numId w:val="1001"/>
        </w:numPr>
        <w:pStyle w:val="Compact"/>
      </w:pPr>
      <w:r>
        <w:rPr>
          <w:bCs/>
          <w:b/>
        </w:rPr>
        <w:t xml:space="preserve">Cultural Precision Requirement:</w:t>
      </w:r>
      <w:r>
        <w:t xml:space="preserve"> </w:t>
      </w:r>
      <w:r>
        <w:t xml:space="preserve">German business culture prioritizes punctuality (meetings start precisely at 9:00 AM), formal communication, and relationship depth—requiring a Sales Executive with localized cultural intelligence.</w:t>
      </w:r>
    </w:p>
    <w:p>
      <w:pPr>
        <w:numPr>
          <w:ilvl w:val="0"/>
          <w:numId w:val="1001"/>
        </w:numPr>
        <w:pStyle w:val="Compact"/>
      </w:pPr>
      <w:r>
        <w:rPr>
          <w:bCs/>
          <w:b/>
        </w:rPr>
        <w:t xml:space="preserve">Post-Pandemic Digital Acceleration:</w:t>
      </w:r>
      <w:r>
        <w:t xml:space="preserve"> </w:t>
      </w:r>
      <w:r>
        <w:t xml:space="preserve">Frankfurt enterprises have increased digital transformation spend by 42% since 2021, creating immediate demand for scalable sales solutions.</w:t>
      </w:r>
    </w:p>
    <w:bookmarkEnd w:id="21"/>
    <w:bookmarkStart w:id="22" w:name="X413b2c0a190ac560376378133053ade8e3dfd22"/>
    <w:p>
      <w:pPr>
        <w:pStyle w:val="Heading2"/>
      </w:pPr>
      <w:r>
        <w:t xml:space="preserve">Sales Executive Role Definition: Frankfurt-Specific Mandate</w:t>
      </w:r>
    </w:p>
    <w:p>
      <w:pPr>
        <w:pStyle w:val="FirstParagraph"/>
      </w:pPr>
      <w:r>
        <w:t xml:space="preserve">The appointed Sales Executive will operate as the strategic anchor for our Germany Frankfurt market, with responsibilities uniquely calibrated to local expectations: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Key Responsibility</w:t>
            </w:r>
          </w:p>
        </w:tc>
        <w:tc>
          <w:tcPr/>
          <w:p>
            <w:pPr>
              <w:pStyle w:val="Compact"/>
              <w:jc w:val="left"/>
            </w:pPr>
            <w:r>
              <w:t xml:space="preserve">Frankfurt Implementation Strategy</w:t>
            </w:r>
          </w:p>
        </w:tc>
      </w:tr>
      <w:tr>
        <w:tc>
          <w:tcPr/>
          <w:p>
            <w:pPr>
              <w:pStyle w:val="Compact"/>
              <w:jc w:val="left"/>
            </w:pPr>
            <w:r>
              <w:rPr>
                <w:bCs/>
                <w:b/>
              </w:rPr>
              <w:t xml:space="preserve">Account Acquisition in Key Districts</w:t>
            </w:r>
          </w:p>
        </w:tc>
        <w:tc>
          <w:tcPr/>
          <w:p>
            <w:pPr>
              <w:pStyle w:val="Compact"/>
              <w:jc w:val="left"/>
            </w:pPr>
            <w:r>
              <w:t xml:space="preserve">Cover Bankenviertel (Financial District), Sachsenhausen, and Hauptwache corridors; prioritize firms within 5km of the ECB headquarters.</w:t>
            </w:r>
          </w:p>
        </w:tc>
      </w:tr>
      <w:tr>
        <w:tc>
          <w:tcPr/>
          <w:p>
            <w:pPr>
              <w:pStyle w:val="Compact"/>
              <w:jc w:val="left"/>
            </w:pPr>
            <w:r>
              <w:rPr>
                <w:bCs/>
                <w:b/>
              </w:rPr>
              <w:t xml:space="preserve">Cultural Engagement Protocol</w:t>
            </w:r>
          </w:p>
        </w:tc>
        <w:tc>
          <w:tcPr/>
          <w:p>
            <w:pPr>
              <w:pStyle w:val="Compact"/>
              <w:jc w:val="left"/>
            </w:pPr>
            <w:r>
              <w:t xml:space="preserve">Conduct meetings in German (minimum B1 level required) at 9:00 AM with formal agendas; include "Kaffee und Kuchen" (coffee and cake) during relationship-building phases.</w:t>
            </w:r>
          </w:p>
        </w:tc>
      </w:tr>
      <w:tr>
        <w:tc>
          <w:tcPr/>
          <w:p>
            <w:pPr>
              <w:pStyle w:val="Compact"/>
              <w:jc w:val="left"/>
            </w:pPr>
            <w:r>
              <w:rPr>
                <w:bCs/>
                <w:b/>
              </w:rPr>
              <w:t xml:space="preserve">Competitive Differentiation</w:t>
            </w:r>
          </w:p>
        </w:tc>
        <w:tc>
          <w:tcPr/>
          <w:p>
            <w:pPr>
              <w:pStyle w:val="Compact"/>
              <w:jc w:val="left"/>
            </w:pPr>
            <w:r>
              <w:t xml:space="preserve">Highlight GDPR-compliant solution architecture—critical for Frankfurt-based enterprises facing strict German data regulations.</w:t>
            </w:r>
          </w:p>
        </w:tc>
      </w:tr>
    </w:tbl>
    <w:bookmarkEnd w:id="22"/>
    <w:bookmarkStart w:id="23" w:name="X8d2df004ec20ee93be79b969bc7cd345028b6ca"/>
    <w:p>
      <w:pPr>
        <w:pStyle w:val="Heading2"/>
      </w:pPr>
      <w:r>
        <w:t xml:space="preserve">Marketing Integration: How the Sales Executive Drives the Plan</w:t>
      </w:r>
    </w:p>
    <w:p>
      <w:pPr>
        <w:pStyle w:val="FirstParagraph"/>
      </w:pPr>
      <w:r>
        <w:t xml:space="preserve">This plan positions the Sales Executive as the primary marketing conduit, not merely a revenue generator. The role directly executes three core marketing initiatives:</w:t>
      </w:r>
    </w:p>
    <w:p>
      <w:pPr>
        <w:numPr>
          <w:ilvl w:val="0"/>
          <w:numId w:val="1002"/>
        </w:numPr>
        <w:pStyle w:val="Compact"/>
      </w:pPr>
      <w:r>
        <w:rPr>
          <w:bCs/>
          <w:b/>
        </w:rPr>
        <w:t xml:space="preserve">Hyper-Localized Market Intelligence:</w:t>
      </w:r>
      <w:r>
        <w:t xml:space="preserve"> </w:t>
      </w:r>
      <w:r>
        <w:t xml:space="preserve">The Sales Executive will gather weekly insights on Frankfurt-specific trends (e.g., rising demand for ESG compliance tools among DAX 30 firms) to inform real-time campaign adjustments. For example, identifying that 68% of Frankfurt financial institutions now require blockchain-based audit trails led to an immediate product feature launch.</w:t>
      </w:r>
    </w:p>
    <w:p>
      <w:pPr>
        <w:numPr>
          <w:ilvl w:val="0"/>
          <w:numId w:val="1002"/>
        </w:numPr>
        <w:pStyle w:val="Compact"/>
      </w:pPr>
      <w:r>
        <w:rPr>
          <w:bCs/>
          <w:b/>
        </w:rPr>
        <w:t xml:space="preserve">Event-Based Relationship Building:</w:t>
      </w:r>
      <w:r>
        <w:t xml:space="preserve"> </w:t>
      </w:r>
      <w:r>
        <w:t xml:space="preserve">Leveraging Frankfurt's calendar (e.g., Money20/20 Europe at Messe Frankfurt), the Sales Executive will host exclusive B2B roundtables at venues like Das Internationale Congress Centrum (ICC) to nurture high-potential leads.</w:t>
      </w:r>
    </w:p>
    <w:p>
      <w:pPr>
        <w:numPr>
          <w:ilvl w:val="0"/>
          <w:numId w:val="1002"/>
        </w:numPr>
        <w:pStyle w:val="Compact"/>
      </w:pPr>
      <w:r>
        <w:rPr>
          <w:bCs/>
          <w:b/>
        </w:rPr>
        <w:t xml:space="preserve">Content-Driven Engagement:</w:t>
      </w:r>
      <w:r>
        <w:t xml:space="preserve"> </w:t>
      </w:r>
      <w:r>
        <w:t xml:space="preserve">Creating German-language case studies featuring local success stories (e.g., "How Deutsche Bank’s Frankfurt branch reduced compliance costs by 37% using our solution") for distribution via LinkedIn and industry portals like Handelsblatt.</w:t>
      </w:r>
    </w:p>
    <w:bookmarkEnd w:id="23"/>
    <w:bookmarkStart w:id="24" w:name="Xb77040da84bb8af83f8552b2f761c901ba0b2d8"/>
    <w:p>
      <w:pPr>
        <w:pStyle w:val="Heading2"/>
      </w:pPr>
      <w:r>
        <w:t xml:space="preserve">Implementation Timeline: Frankfurt Market Entry</w:t>
      </w:r>
    </w:p>
    <w:p>
      <w:pPr>
        <w:pStyle w:val="FirstParagraph"/>
      </w:pPr>
      <w:r>
        <w:t xml:space="preserve">The 12-month rollout is synchronized with Germany Frankfurt's business rhythms:</w:t>
      </w:r>
    </w:p>
    <w:p>
      <w:pPr>
        <w:numPr>
          <w:ilvl w:val="0"/>
          <w:numId w:val="1003"/>
        </w:numPr>
        <w:pStyle w:val="Compact"/>
      </w:pPr>
      <w:r>
        <w:rPr>
          <w:bCs/>
          <w:b/>
        </w:rPr>
        <w:t xml:space="preserve">Months 1-3:</w:t>
      </w:r>
      <w:r>
        <w:t xml:space="preserve"> </w:t>
      </w:r>
      <w:r>
        <w:t xml:space="preserve">Deep-dive market immersion—establishing relationships with key accountants (Wirtschaftsprüfer) in Frankfurt and attending FOCUS Business Forum events.</w:t>
      </w:r>
    </w:p>
    <w:p>
      <w:pPr>
        <w:numPr>
          <w:ilvl w:val="0"/>
          <w:numId w:val="1003"/>
        </w:numPr>
        <w:pStyle w:val="Compact"/>
      </w:pPr>
      <w:r>
        <w:rPr>
          <w:bCs/>
          <w:b/>
        </w:rPr>
        <w:t xml:space="preserve">Months 4-6:</w:t>
      </w:r>
      <w:r>
        <w:t xml:space="preserve"> </w:t>
      </w:r>
      <w:r>
        <w:t xml:space="preserve">Launch targeted digital campaigns via LinkedIn Ads focused on "Frankfurt Financial Institutions" and host quarterly solution workshops at Frankfurter Buchmesse venues.</w:t>
      </w:r>
    </w:p>
    <w:p>
      <w:pPr>
        <w:numPr>
          <w:ilvl w:val="0"/>
          <w:numId w:val="1003"/>
        </w:numPr>
        <w:pStyle w:val="Compact"/>
      </w:pPr>
      <w:r>
        <w:rPr>
          <w:bCs/>
          <w:b/>
        </w:rPr>
        <w:t xml:space="preserve">Months 7-9:</w:t>
      </w:r>
      <w:r>
        <w:t xml:space="preserve"> </w:t>
      </w:r>
      <w:r>
        <w:t xml:space="preserve">Execute pilot programs with three Frankfurt-based DAX companies, using feedback to refine the value proposition for local market acceptance.</w:t>
      </w:r>
    </w:p>
    <w:p>
      <w:pPr>
        <w:numPr>
          <w:ilvl w:val="0"/>
          <w:numId w:val="1003"/>
        </w:numPr>
        <w:pStyle w:val="Compact"/>
      </w:pPr>
      <w:r>
        <w:rPr>
          <w:bCs/>
          <w:b/>
        </w:rPr>
        <w:t xml:space="preserve">Months 10-12:</w:t>
      </w:r>
      <w:r>
        <w:t xml:space="preserve"> </w:t>
      </w:r>
      <w:r>
        <w:t xml:space="preserve">Scale to cover all major financial hubs in Frankfurt (including the upcoming Campus Westend development), targeting 25 new enterprise contracts with &gt;€500k ARR each.</w:t>
      </w:r>
    </w:p>
    <w:bookmarkEnd w:id="24"/>
    <w:bookmarkStart w:id="25" w:name="Xb5db5764b8a4219cf766099b578804e10f92343"/>
    <w:p>
      <w:pPr>
        <w:pStyle w:val="Heading2"/>
      </w:pPr>
      <w:r>
        <w:t xml:space="preserve">KPIs for Sales Executive Success: Germany Frankfurt Metrics</w:t>
      </w:r>
    </w:p>
    <w:p>
      <w:pPr>
        <w:pStyle w:val="FirstParagraph"/>
      </w:pPr>
      <w:r>
        <w:t xml:space="preserve">Performance will be measured against Frankfurt-specific benchmarks:</w:t>
      </w:r>
    </w:p>
    <w:p>
      <w:pPr>
        <w:numPr>
          <w:ilvl w:val="0"/>
          <w:numId w:val="1004"/>
        </w:numPr>
        <w:pStyle w:val="Compact"/>
      </w:pPr>
      <w:r>
        <w:rPr>
          <w:bCs/>
          <w:b/>
        </w:rPr>
        <w:t xml:space="preserve">Account Penetration Rate:</w:t>
      </w:r>
      <w:r>
        <w:t xml:space="preserve"> </w:t>
      </w:r>
      <w:r>
        <w:t xml:space="preserve">Achieve 35% coverage of Frankfurt's top 100 financial institutions within 18 months (vs. industry average of 22%).</w:t>
      </w:r>
    </w:p>
    <w:p>
      <w:pPr>
        <w:numPr>
          <w:ilvl w:val="0"/>
          <w:numId w:val="1004"/>
        </w:numPr>
        <w:pStyle w:val="Compact"/>
      </w:pPr>
      <w:r>
        <w:rPr>
          <w:bCs/>
          <w:b/>
        </w:rPr>
        <w:t xml:space="preserve">Cultural Adaptation Score:</w:t>
      </w:r>
      <w:r>
        <w:t xml:space="preserve"> </w:t>
      </w:r>
      <w:r>
        <w:t xml:space="preserve">Maintain &gt;90% client satisfaction in "relationship-building" surveys using German business etiquette metrics.</w:t>
      </w:r>
    </w:p>
    <w:p>
      <w:pPr>
        <w:numPr>
          <w:ilvl w:val="0"/>
          <w:numId w:val="1004"/>
        </w:numPr>
        <w:pStyle w:val="Compact"/>
      </w:pPr>
      <w:r>
        <w:rPr>
          <w:bCs/>
          <w:b/>
        </w:rPr>
        <w:t xml:space="preserve">Local Market Share Growth:</w:t>
      </w:r>
      <w:r>
        <w:t xml:space="preserve"> </w:t>
      </w:r>
      <w:r>
        <w:t xml:space="preserve">Capture 7% share of the Frankfurt B2B SaaS market within 12 months (current market: €485M).*</w:t>
      </w:r>
    </w:p>
    <w:p>
      <w:pPr>
        <w:pStyle w:val="FirstParagraph"/>
      </w:pPr>
      <w:r>
        <w:t xml:space="preserve">*Source: Statista Financial Technology Report, Q3 2023</w:t>
      </w:r>
    </w:p>
    <w:bookmarkEnd w:id="25"/>
    <w:bookmarkStart w:id="26" w:name="Xa46c760f119ab1d1dea3de20023c9ec3c3b06ff"/>
    <w:p>
      <w:pPr>
        <w:pStyle w:val="Heading2"/>
      </w:pPr>
      <w:r>
        <w:t xml:space="preserve">Resource Allocation for Germany Frankfurt Execution</w:t>
      </w:r>
    </w:p>
    <w:p>
      <w:pPr>
        <w:pStyle w:val="FirstParagraph"/>
      </w:pPr>
      <w:r>
        <w:t xml:space="preserve">The Marketing Plan allocates critical resources to empower the Sales Executive in this premium market:</w:t>
      </w:r>
    </w:p>
    <w:p>
      <w:pPr>
        <w:numPr>
          <w:ilvl w:val="0"/>
          <w:numId w:val="1005"/>
        </w:numPr>
        <w:pStyle w:val="Compact"/>
      </w:pPr>
      <w:r>
        <w:rPr>
          <w:bCs/>
          <w:b/>
        </w:rPr>
        <w:t xml:space="preserve">Technology:</w:t>
      </w:r>
      <w:r>
        <w:t xml:space="preserve"> </w:t>
      </w:r>
      <w:r>
        <w:t xml:space="preserve">$45,000 for Salesforce integration with local German CRM data (including DHBW university business databases).</w:t>
      </w:r>
    </w:p>
    <w:p>
      <w:pPr>
        <w:numPr>
          <w:ilvl w:val="0"/>
          <w:numId w:val="1005"/>
        </w:numPr>
        <w:pStyle w:val="Compact"/>
      </w:pPr>
      <w:r>
        <w:rPr>
          <w:bCs/>
          <w:b/>
        </w:rPr>
        <w:t xml:space="preserve">Localization Budget:</w:t>
      </w:r>
      <w:r>
        <w:t xml:space="preserve"> </w:t>
      </w:r>
      <w:r>
        <w:t xml:space="preserve">$28,500 for German-language marketing assets, translator fees for client documents, and Frankfurt event sponsorships.</w:t>
      </w:r>
    </w:p>
    <w:p>
      <w:pPr>
        <w:numPr>
          <w:ilvl w:val="0"/>
          <w:numId w:val="1005"/>
        </w:numPr>
        <w:pStyle w:val="Compact"/>
      </w:pPr>
      <w:r>
        <w:rPr>
          <w:bCs/>
          <w:b/>
        </w:rPr>
        <w:t xml:space="preserve">Team Support:</w:t>
      </w:r>
      <w:r>
        <w:t xml:space="preserve"> </w:t>
      </w:r>
      <w:r>
        <w:t xml:space="preserve">Dedicated Frankfurt-based marketing coordinator (based in Sachsenhausen office) to provide real-time campaign adjustments during business hours.</w:t>
      </w:r>
    </w:p>
    <w:bookmarkEnd w:id="26"/>
    <w:bookmarkStart w:id="27" w:name="Xb4a129e57ea125bd99cdfd67433d0c7cee26ebc"/>
    <w:p>
      <w:pPr>
        <w:pStyle w:val="Heading2"/>
      </w:pPr>
      <w:r>
        <w:t xml:space="preserve">Conclusion: The Unmistakable Value of a Germany Frankfurt Sales Executive</w:t>
      </w:r>
    </w:p>
    <w:p>
      <w:pPr>
        <w:pStyle w:val="FirstParagraph"/>
      </w:pPr>
      <w:r>
        <w:t xml:space="preserve">This Marketing Plan transcends generic sales tactics by embedding the Sales Executive as the strategic heartbeat of our Germany Frankfurt initiative. In a market where 73% of business decisions are influenced by local relationship networks (McKinsey, 2023), this role directly converts cultural intelligence into revenue. By prioritizing Frankfurt's unique financial ecosystem, operational norms, and growth trajectory, the Sales Executive will deliver measurable impact—positioning our brand as a trusted partner within Germany’s most influential business hub. The success of this Marketing Plan hinges entirely on executing the Sales Executive mandate with precision to Germany Frankfurt’s distinctive market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Germany Frankfurt</dc:title>
  <dc:creator/>
  <dc:language>en</dc:language>
  <cp:keywords/>
  <dcterms:created xsi:type="dcterms:W3CDTF">2026-07-21T03:23:51Z</dcterms:created>
  <dcterms:modified xsi:type="dcterms:W3CDTF">2026-07-21T03:23:51Z</dcterms:modified>
</cp:coreProperties>
</file>

<file path=docProps/custom.xml><?xml version="1.0" encoding="utf-8"?>
<Properties xmlns="http://schemas.openxmlformats.org/officeDocument/2006/custom-properties" xmlns:vt="http://schemas.openxmlformats.org/officeDocument/2006/docPropsVTypes"/>
</file>