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Strategy</w:t>
      </w:r>
      <w:r>
        <w:t xml:space="preserve"> </w:t>
      </w:r>
      <w:r>
        <w:t xml:space="preserve">for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X052a932960cb456cba373c7d6a1545d3e949c56"/>
    <w:p>
      <w:pPr>
        <w:pStyle w:val="Heading1"/>
      </w:pPr>
      <w:r>
        <w:t xml:space="preserve">Comprehensive Marketing Plan: Sales Executive Development &amp; Execution Framework for Russia Moscow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position and empower Sales Executives within the high-potential Russia Moscow market. Recognizing Moscow's status as the economic engine of Russia—contributing over 35% of national GDP and housing 18% of the country's population—we have designed a sales-centric framework that directly addresses local market dynamics. The plan prioritizes cultural intelligence, digital agility, and relationship-building unique to Russia Moscow, ensuring Sales Executives drive sustainable revenue growth in this complex yet lucrative territory.</w:t>
      </w:r>
    </w:p>
    <w:bookmarkEnd w:id="20"/>
    <w:bookmarkStart w:id="21" w:name="market-analysis-russia-moscow-context"/>
    <w:p>
      <w:pPr>
        <w:pStyle w:val="Heading2"/>
      </w:pPr>
      <w:r>
        <w:t xml:space="preserve">Market Analysis: Russia Moscow Context</w:t>
      </w:r>
    </w:p>
    <w:p>
      <w:pPr>
        <w:pStyle w:val="FirstParagraph"/>
      </w:pPr>
      <w:r>
        <w:t xml:space="preserve">The Russia Moscow market demands a nuanced approach. With its concentration of Fortune 500 headquarters, emerging tech unicorns (e.g., Yandex, Sberbank), and a B2B spending power exceeding $150 billion annually, this city is the undisputed commercial hub. However, success requires understanding: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Relationship-first decision-making; "trusting relationships" (доверие) are non-negotiable for closing deals.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Landscape:</w:t>
      </w:r>
      <w:r>
        <w:t xml:space="preserve"> </w:t>
      </w:r>
      <w:r>
        <w:t xml:space="preserve">High penetration of local platforms (VKontakte, Telegram) over global channels; mobile commerce dominates.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Realities:</w:t>
      </w:r>
      <w:r>
        <w:t xml:space="preserve"> </w:t>
      </w:r>
      <w:r>
        <w:t xml:space="preserve">Post-sanctions adaptation requires agile pricing and value communication focused on ROI in volatile markets.</w:t>
      </w:r>
    </w:p>
    <w:p>
      <w:pPr>
        <w:pStyle w:val="FirstParagraph"/>
      </w:pPr>
      <w:r>
        <w:t xml:space="preserve">A Sales Executive operating in Russia Moscow must navigate these layers while delivering consistent growth. Our plan embeds this awareness into every sales function.</w:t>
      </w:r>
    </w:p>
    <w:bookmarkEnd w:id="21"/>
    <w:bookmarkStart w:id="22" w:name="Xaa8667ab463c206ceb68c4adcfbb9bb3b5a3d90"/>
    <w:p>
      <w:pPr>
        <w:pStyle w:val="Heading2"/>
      </w:pPr>
      <w:r>
        <w:t xml:space="preserve">Core Strategy: Sales Executive Role Definition</w:t>
      </w:r>
    </w:p>
    <w:p>
      <w:pPr>
        <w:pStyle w:val="FirstParagraph"/>
      </w:pPr>
      <w:r>
        <w:t xml:space="preserve">This Marketing Plan positions the Sales Executive as the frontline ambassador for our brand within Russia Moscow. The role transcends traditional sales—combining strategic account management, cultural fluency, and data-driven outreach. Key responsibilities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Market Intelligence:</w:t>
      </w:r>
      <w:r>
        <w:t xml:space="preserve"> </w:t>
      </w:r>
      <w:r>
        <w:t xml:space="preserve">Continuous analysis of Moscow-specific trends (e.g., regulatory shifts in fintech, energy sectors).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Sales Execution:</w:t>
      </w:r>
      <w:r>
        <w:t xml:space="preserve"> </w:t>
      </w:r>
      <w:r>
        <w:t xml:space="preserve">Adapting communication to Russian business etiquette—prioritizing face-to-face meetings and leveraging local 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Value-Based Selling:</w:t>
      </w:r>
      <w:r>
        <w:t xml:space="preserve"> </w:t>
      </w:r>
      <w:r>
        <w:t xml:space="preserve">Articulating ROI through Moscow-relevant case studies (e.g., "How [Product] reduced procurement costs for a Moscow-based manufacturing leader by 22%").</w:t>
      </w:r>
    </w:p>
    <w:bookmarkEnd w:id="22"/>
    <w:bookmarkStart w:id="27" w:name="X7657c972239faaed6c47d8b5dbb028fd790d62d"/>
    <w:p>
      <w:pPr>
        <w:pStyle w:val="Heading2"/>
      </w:pPr>
      <w:r>
        <w:t xml:space="preserve">Marketing Plan Tactics for Russia Moscow Sales Executives</w:t>
      </w:r>
    </w:p>
    <w:p>
      <w:pPr>
        <w:pStyle w:val="FirstParagraph"/>
      </w:pPr>
      <w:r>
        <w:t xml:space="preserve">To maximize the Sales Executive’s impact, we deploy integrated tactics tailored to Moscow:</w:t>
      </w:r>
    </w:p>
    <w:bookmarkStart w:id="23" w:name="X7ac77815d1db235dc58f67bb46431f2e8496f4f"/>
    <w:p>
      <w:pPr>
        <w:pStyle w:val="Heading3"/>
      </w:pPr>
      <w:r>
        <w:t xml:space="preserve">1. Hyper-Localized Lead Generation (Moscow Focus)</w:t>
      </w:r>
    </w:p>
    <w:p>
      <w:pPr>
        <w:pStyle w:val="FirstParagraph"/>
      </w:pPr>
      <w:r>
        <w:t xml:space="preserve">• Partner with Moscow-based industry associations (e.g., Russian Union of Industrialists and Entrepreneurs) for targeted events.</w:t>
      </w:r>
      <w:r>
        <w:t xml:space="preserve"> </w:t>
      </w:r>
      <w:r>
        <w:t xml:space="preserve">• Leverage Telegram channels popular in Moscow business circles for lead nurturing—avoiding Western platforms like LinkedIn.</w:t>
      </w:r>
      <w:r>
        <w:t xml:space="preserve"> </w:t>
      </w:r>
      <w:r>
        <w:t xml:space="preserve">• Create "Moscow Success Stories" videos featuring local clients, filmed in Russian with Cyrillic subtitles.</w:t>
      </w:r>
    </w:p>
    <w:bookmarkEnd w:id="23"/>
    <w:bookmarkStart w:id="24" w:name="cultural-sales-enablement"/>
    <w:p>
      <w:pPr>
        <w:pStyle w:val="Heading3"/>
      </w:pPr>
      <w:r>
        <w:t xml:space="preserve">2. Cultural Sales Enablement</w:t>
      </w:r>
    </w:p>
    <w:p>
      <w:pPr>
        <w:pStyle w:val="FirstParagraph"/>
      </w:pPr>
      <w:r>
        <w:t xml:space="preserve">• Mandatory training on Moscow business culture: e.g., understanding "dacha" (summer home) meetings as relationship-builders, not distractions.</w:t>
      </w:r>
      <w:r>
        <w:t xml:space="preserve"> </w:t>
      </w:r>
      <w:r>
        <w:t xml:space="preserve">• Provide sales scripts addressing common Moscow objections ("Your solution is expensive; our competitors offer cheaper alternatives") with localized counterpoints.</w:t>
      </w:r>
    </w:p>
    <w:bookmarkEnd w:id="24"/>
    <w:bookmarkStart w:id="25" w:name="digital-first-engagement"/>
    <w:p>
      <w:pPr>
        <w:pStyle w:val="Heading3"/>
      </w:pPr>
      <w:r>
        <w:t xml:space="preserve">3. Digital-First Engagement</w:t>
      </w:r>
    </w:p>
    <w:p>
      <w:pPr>
        <w:pStyle w:val="FirstParagraph"/>
      </w:pPr>
      <w:r>
        <w:t xml:space="preserve">• Deploy AI-driven CRM tools (e.g., Salesforce with Russian language support) tracking Moscow-specific metrics:</w:t>
      </w:r>
      <w:r>
        <w:t xml:space="preserve"> </w:t>
      </w:r>
      <w:r>
        <w:t xml:space="preserve">- Lead-to-close rate in key sectors (energy, IT, logistics).</w:t>
      </w:r>
      <w:r>
        <w:t xml:space="preserve"> </w:t>
      </w:r>
      <w:r>
        <w:t xml:space="preserve">- Seasonal buying patterns (e.g., Q4 budget flushes before year-end).</w:t>
      </w:r>
      <w:r>
        <w:t xml:space="preserve"> </w:t>
      </w:r>
      <w:r>
        <w:t xml:space="preserve">• Optimize email campaigns for Moscow time zones—avoiding early-morning outreach during commutes.</w:t>
      </w:r>
    </w:p>
    <w:bookmarkEnd w:id="25"/>
    <w:bookmarkStart w:id="26" w:name="strategic-alliance-building"/>
    <w:p>
      <w:pPr>
        <w:pStyle w:val="Heading3"/>
      </w:pPr>
      <w:r>
        <w:t xml:space="preserve">4. Strategic Alliance Building</w:t>
      </w:r>
    </w:p>
    <w:p>
      <w:pPr>
        <w:pStyle w:val="FirstParagraph"/>
      </w:pPr>
      <w:r>
        <w:t xml:space="preserve">• Forge partnerships with Moscow-based firms like Mail.ru Group or MTS for co-marketing, enhancing credibility.</w:t>
      </w:r>
      <w:r>
        <w:t xml:space="preserve"> </w:t>
      </w:r>
      <w:r>
        <w:t xml:space="preserve">• Sponsor local events (e.g., Moscow International Fair) where Sales Executives serve as primary relationship managers.</w:t>
      </w:r>
    </w:p>
    <w:bookmarkEnd w:id="26"/>
    <w:bookmarkEnd w:id="27"/>
    <w:bookmarkStart w:id="28" w:name="kpis-performance-measurement"/>
    <w:p>
      <w:pPr>
        <w:pStyle w:val="Heading2"/>
      </w:pPr>
      <w:r>
        <w:t xml:space="preserve">KPIs &amp; Performance Measurement</w:t>
      </w:r>
    </w:p>
    <w:p>
      <w:pPr>
        <w:pStyle w:val="FirstParagraph"/>
      </w:pPr>
      <w:r>
        <w:t xml:space="preserve">Success is measured through Russia Moscow-specific metrics: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30% YoY revenue growth from Moscow accounts (vs. 15% national average).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KPI:</w:t>
      </w:r>
      <w:r>
        <w:t xml:space="preserve"> </w:t>
      </w:r>
      <w:r>
        <w:t xml:space="preserve">90% of Sales Executives achieving "trusted advisor" status per client survey (measured via local third parties).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KPI:</w:t>
      </w:r>
      <w:r>
        <w:t xml:space="preserve"> </w:t>
      </w:r>
      <w:r>
        <w:t xml:space="preserve">25% reduction in lead response time during Moscow business hours.</w:t>
      </w:r>
    </w:p>
    <w:bookmarkEnd w:id="28"/>
    <w:bookmarkStart w:id="29" w:name="Xbd236a9c5db84eb3ae122decd7974f830e0c190"/>
    <w:p>
      <w:pPr>
        <w:pStyle w:val="Heading2"/>
      </w:pPr>
      <w:r>
        <w:t xml:space="preserve">Implementation Timeline (Russia Moscow Focus)</w:t>
      </w:r>
    </w:p>
    <w:p>
      <w:pPr>
        <w:pStyle w:val="FirstParagraph"/>
      </w:pPr>
      <w:r>
        <w:rPr>
          <w:bCs/>
          <w:b/>
        </w:rPr>
        <w:t xml:space="preserve">Q1: Foundation</w:t>
      </w:r>
      <w:r>
        <w:t xml:space="preserve">: Train Sales Executives on Moscow culture; deploy localized CRM; launch first "Moscow Case Study" campaign.</w:t>
      </w:r>
      <w:r>
        <w:t xml:space="preserve"> </w:t>
      </w:r>
      <w:r>
        <w:rPr>
          <w:bCs/>
          <w:b/>
        </w:rPr>
        <w:t xml:space="preserve">Q2: Activation</w:t>
      </w:r>
      <w:r>
        <w:t xml:space="preserve">: Host 3 high-profile Moscow networking events; onboard 5 strategic local partners.</w:t>
      </w:r>
      <w:r>
        <w:t xml:space="preserve"> </w:t>
      </w:r>
      <w:r>
        <w:rPr>
          <w:bCs/>
          <w:b/>
        </w:rPr>
        <w:t xml:space="preserve">Q3: Optimization</w:t>
      </w:r>
      <w:r>
        <w:t xml:space="preserve">: Analyze Q2 data to refine messaging; target emerging sectors (e.g., green tech in Moscow’s new industrial zones).</w:t>
      </w:r>
      <w:r>
        <w:t xml:space="preserve"> </w:t>
      </w:r>
      <w:r>
        <w:rPr>
          <w:bCs/>
          <w:b/>
        </w:rPr>
        <w:t xml:space="preserve">Q4: Scale</w:t>
      </w:r>
      <w:r>
        <w:t xml:space="preserve">: Expand successful tactics to secondary Russian cities based on Moscow’s validated model.</w:t>
      </w:r>
    </w:p>
    <w:bookmarkEnd w:id="29"/>
    <w:bookmarkStart w:id="30" w:name="resource-allocation-for-russia-moscow"/>
    <w:p>
      <w:pPr>
        <w:pStyle w:val="Heading2"/>
      </w:pPr>
      <w:r>
        <w:t xml:space="preserve">Resource Allocation for Russia Moscow</w:t>
      </w:r>
    </w:p>
    <w:p>
      <w:pPr>
        <w:pStyle w:val="FirstParagraph"/>
      </w:pPr>
      <w:r>
        <w:t xml:space="preserve">Budget is prioritized for Moscow-centric initiatives:</w:t>
      </w:r>
    </w:p>
    <w:p>
      <w:pPr>
        <w:numPr>
          <w:ilvl w:val="0"/>
          <w:numId w:val="1004"/>
        </w:numPr>
        <w:pStyle w:val="Compact"/>
      </w:pPr>
      <w:r>
        <w:t xml:space="preserve">50% to cultural training &amp; local market research.</w:t>
      </w:r>
    </w:p>
    <w:p>
      <w:pPr>
        <w:numPr>
          <w:ilvl w:val="0"/>
          <w:numId w:val="1004"/>
        </w:numPr>
        <w:pStyle w:val="Compact"/>
      </w:pPr>
      <w:r>
        <w:t xml:space="preserve">30% to digital tools (CRM, analytics) with Russian-language support.</w:t>
      </w:r>
    </w:p>
    <w:p>
      <w:pPr>
        <w:numPr>
          <w:ilvl w:val="0"/>
          <w:numId w:val="1004"/>
        </w:numPr>
        <w:pStyle w:val="Compact"/>
      </w:pPr>
      <w:r>
        <w:t xml:space="preserve">20% to Moscow-specific events and partnerships.</w:t>
      </w:r>
    </w:p>
    <w:bookmarkEnd w:id="30"/>
    <w:bookmarkStart w:id="31" w:name="X8e5cbd3c3b60eb372aa366087f82d088444d4dd"/>
    <w:p>
      <w:pPr>
        <w:pStyle w:val="Heading2"/>
      </w:pPr>
      <w:r>
        <w:t xml:space="preserve">Conclusion: Why This Plan Works for Russia Moscow</w:t>
      </w:r>
    </w:p>
    <w:p>
      <w:pPr>
        <w:pStyle w:val="FirstParagraph"/>
      </w:pPr>
      <w:r>
        <w:t xml:space="preserve">This Marketing Plan isn’t a generic template—it’s engineered for the realities of sales in Russia Moscow. By embedding cultural intelligence into every Sales Executive action, we transform their role from transactional to transformational. The result? A sustainable revenue engine that capitalizes on Moscow’s unique position as Russia’s commercial nucleus while building brand trust where it matters most. For any organization targeting the Russian market, empowering a Sales Executive with this Russia Moscow-specific strategy is no longer optional—it’s the competitive imperative for 2024 and beyond.</w:t>
      </w:r>
    </w:p>
    <w:p>
      <w:pPr>
        <w:pStyle w:val="BodyText"/>
      </w:pPr>
      <w:r>
        <w:rPr>
          <w:iCs/>
          <w:i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Sales Executive Strategy for Russia Moscow</dc:title>
  <dc:creator/>
  <dc:language>en</dc:language>
  <cp:keywords/>
  <dcterms:created xsi:type="dcterms:W3CDTF">2026-07-21T06:08:29Z</dcterms:created>
  <dcterms:modified xsi:type="dcterms:W3CDTF">2026-07-21T06:08:29Z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