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5" w:name="Xa730cb9a76b1626fcde8ea69986fc7637d90170"/>
    <w:p>
      <w:pPr>
        <w:pStyle w:val="Heading1"/>
      </w:pPr>
      <w:r>
        <w:t xml:space="preserve">Comprehensive Marketing Plan for Sales Executive Position in Abu Dhabi, United Arab Emirates</w:t>
      </w:r>
    </w:p>
    <w:bookmarkStart w:id="20" w:name="executive-summary"/>
    <w:p>
      <w:pPr>
        <w:pStyle w:val="Heading2"/>
      </w:pPr>
      <w:r>
        <w:t xml:space="preserve">Executive Summary</w:t>
      </w:r>
    </w:p>
    <w:p>
      <w:pPr>
        <w:pStyle w:val="FirstParagraph"/>
      </w:pPr>
      <w:r>
        <w:t xml:space="preserve">This strategic marketing plan outlines the implementation framework for a high-impact Sales Executive role within the dynamic commercial landscape of Abu Dhabi, United Arab Emirates. Designed to capture emerging market opportunities in the UAE's rapidly evolving business ecosystem, this plan positions the Sales Executive as a pivotal growth driver for our organization. By leveraging Abu Dhabi's unique economic diversification initiatives and aligning with Vision 2030 priorities, we project a 35% year-on-year revenue increase within the first two years of execution.</w:t>
      </w:r>
    </w:p>
    <w:bookmarkEnd w:id="20"/>
    <w:bookmarkStart w:id="21" w:name="market-analysis-abu-dhabi-context"/>
    <w:p>
      <w:pPr>
        <w:pStyle w:val="Heading2"/>
      </w:pPr>
      <w:r>
        <w:t xml:space="preserve">Market Analysis: Abu Dhabi Context</w:t>
      </w:r>
    </w:p>
    <w:p>
      <w:pPr>
        <w:pStyle w:val="FirstParagraph"/>
      </w:pPr>
      <w:r>
        <w:t xml:space="preserve">The United Arab Emirates Abu Dhabi market presents unprecedented opportunities for strategic sales leadership. As the capital emirate driving UAE's economic diversification, Abu Dhabi boasts a 7.4% GDP growth rate (World Bank 2023) and a business-friendly environment with over 160,000 registered companies. Key growth sectors include renewable energy (35% of GDP by 2035), tourism (projected to reach $98 billion by 2035), and smart city infrastructure. The Sales Executive must navigate Abu Dhabi's distinctive market characteristics: a high concentration of government-linked entities, strong family-owned business influence, and an increasing demand for premium digital solutions.</w:t>
      </w:r>
    </w:p>
    <w:bookmarkEnd w:id="21"/>
    <w:bookmarkStart w:id="22" w:name="target-audience-segmentation"/>
    <w:p>
      <w:pPr>
        <w:pStyle w:val="Heading2"/>
      </w:pPr>
      <w:r>
        <w:t xml:space="preserve">Target Audience Segmentation</w:t>
      </w:r>
    </w:p>
    <w:p>
      <w:pPr>
        <w:pStyle w:val="FirstParagraph"/>
      </w:pPr>
      <w:r>
        <w:t xml:space="preserve">Our Sales Executive will focus on three strategic segments within United Arab Emirates Abu Dhabi:</w:t>
      </w:r>
    </w:p>
    <w:p>
      <w:pPr>
        <w:numPr>
          <w:ilvl w:val="0"/>
          <w:numId w:val="1001"/>
        </w:numPr>
        <w:pStyle w:val="Compact"/>
      </w:pPr>
      <w:r>
        <w:rPr>
          <w:bCs/>
          <w:b/>
        </w:rPr>
        <w:t xml:space="preserve">Government Entities &amp; Tadawul Listed Companies:</w:t>
      </w:r>
      <w:r>
        <w:t xml:space="preserve"> </w:t>
      </w:r>
      <w:r>
        <w:t xml:space="preserve">Including Mubadala Investment Company and Abu Dhabi National Oil Company (ADNOC) subsidiaries requiring enterprise SaaS solutions</w:t>
      </w:r>
    </w:p>
    <w:p>
      <w:pPr>
        <w:numPr>
          <w:ilvl w:val="0"/>
          <w:numId w:val="1001"/>
        </w:numPr>
        <w:pStyle w:val="Compact"/>
      </w:pPr>
      <w:r>
        <w:rPr>
          <w:bCs/>
          <w:b/>
        </w:rPr>
        <w:t xml:space="preserve">High-Net-Worth Individuals (HNWIs):</w:t>
      </w:r>
      <w:r>
        <w:t xml:space="preserve"> </w:t>
      </w:r>
      <w:r>
        <w:t xml:space="preserve">Abu Dhabi's 12,000+ HNWIs seeking personalized luxury service packages</w:t>
      </w:r>
    </w:p>
    <w:p>
      <w:pPr>
        <w:numPr>
          <w:ilvl w:val="0"/>
          <w:numId w:val="1001"/>
        </w:numPr>
        <w:pStyle w:val="Compact"/>
      </w:pPr>
      <w:r>
        <w:rPr>
          <w:bCs/>
          <w:b/>
        </w:rPr>
        <w:t xml:space="preserve">Middle-Market SMEs:</w:t>
      </w:r>
      <w:r>
        <w:t xml:space="preserve"> </w:t>
      </w:r>
      <w:r>
        <w:t xml:space="preserve">45% of Abu Dhabi's commercial sector comprising manufacturing and hospitality businesses needing digital transformation tools</w:t>
      </w:r>
    </w:p>
    <w:bookmarkEnd w:id="22"/>
    <w:bookmarkStart w:id="23" w:name="sales-strategy-framework"/>
    <w:p>
      <w:pPr>
        <w:pStyle w:val="Heading2"/>
      </w:pPr>
      <w:r>
        <w:t xml:space="preserve">Sales Strategy Framework</w:t>
      </w:r>
    </w:p>
    <w:p>
      <w:pPr>
        <w:pStyle w:val="FirstParagraph"/>
      </w:pPr>
      <w:r>
        <w:t xml:space="preserve">The Sales Executive will implement a consultative selling approach tailored to Abu Dhabi's business culture. Core strategies include:</w:t>
      </w:r>
    </w:p>
    <w:p>
      <w:pPr>
        <w:numPr>
          <w:ilvl w:val="0"/>
          <w:numId w:val="1002"/>
        </w:numPr>
        <w:pStyle w:val="Compact"/>
      </w:pPr>
      <w:r>
        <w:rPr>
          <w:bCs/>
          <w:b/>
        </w:rPr>
        <w:t xml:space="preserve">Culture-First Engagement:</w:t>
      </w:r>
      <w:r>
        <w:t xml:space="preserve"> </w:t>
      </w:r>
      <w:r>
        <w:t xml:space="preserve">Mandatory Emirati cultural training and Arabic language proficiency (at minimum basic conversational level) for all client interactions</w:t>
      </w:r>
    </w:p>
    <w:p>
      <w:pPr>
        <w:numPr>
          <w:ilvl w:val="0"/>
          <w:numId w:val="1002"/>
        </w:numPr>
        <w:pStyle w:val="Compact"/>
      </w:pPr>
      <w:r>
        <w:rPr>
          <w:bCs/>
          <w:b/>
        </w:rPr>
        <w:t xml:space="preserve">Vision 2030 Alignment:</w:t>
      </w:r>
      <w:r>
        <w:t xml:space="preserve"> </w:t>
      </w:r>
      <w:r>
        <w:t xml:space="preserve">Positioning solutions around Abu Dhabi's sustainability goals, particularly in green technology and smart infrastructure projects</w:t>
      </w:r>
    </w:p>
    <w:p>
      <w:pPr>
        <w:numPr>
          <w:ilvl w:val="0"/>
          <w:numId w:val="1002"/>
        </w:numPr>
        <w:pStyle w:val="Compact"/>
      </w:pPr>
      <w:r>
        <w:rPr>
          <w:bCs/>
          <w:b/>
        </w:rPr>
        <w:t xml:space="preserve">Strategic Partnerships:</w:t>
      </w:r>
      <w:r>
        <w:t xml:space="preserve"> </w:t>
      </w:r>
      <w:r>
        <w:t xml:space="preserve">Collaborating with key Abu Dhabi entities like the Abu Dhabi Chamber of Commerce and Tawazun Economic Council for lead generation</w:t>
      </w:r>
    </w:p>
    <w:p>
      <w:pPr>
        <w:numPr>
          <w:ilvl w:val="0"/>
          <w:numId w:val="1002"/>
        </w:numPr>
        <w:pStyle w:val="Compact"/>
      </w:pPr>
      <w:r>
        <w:rPr>
          <w:bCs/>
          <w:b/>
        </w:rPr>
        <w:t xml:space="preserve">Value-Based Pricing:</w:t>
      </w:r>
      <w:r>
        <w:t xml:space="preserve"> </w:t>
      </w:r>
      <w:r>
        <w:t xml:space="preserve">Shifting from transactional to outcome-based pricing models demonstrating clear ROI against UAE market benchmarks</w:t>
      </w:r>
    </w:p>
    <w:bookmarkEnd w:id="23"/>
    <w:bookmarkStart w:id="27" w:name="marketing-tactics-execution-plan"/>
    <w:p>
      <w:pPr>
        <w:pStyle w:val="Heading2"/>
      </w:pPr>
      <w:r>
        <w:t xml:space="preserve">Marketing Tactics Execution Plan</w:t>
      </w:r>
    </w:p>
    <w:p>
      <w:pPr>
        <w:pStyle w:val="FirstParagraph"/>
      </w:pPr>
      <w:r>
        <w:t xml:space="preserve">This Marketing Plan integrates digital and traditional channels optimized for Abu Dhabi's business environment:</w:t>
      </w:r>
    </w:p>
    <w:bookmarkStart w:id="24" w:name="digital-presence-optimization"/>
    <w:p>
      <w:pPr>
        <w:pStyle w:val="Heading3"/>
      </w:pPr>
      <w:r>
        <w:t xml:space="preserve">Digital Presence Optimization</w:t>
      </w:r>
    </w:p>
    <w:p>
      <w:pPr>
        <w:pStyle w:val="FirstParagraph"/>
      </w:pPr>
      <w:r>
        <w:t xml:space="preserve">The Sales Executive will leverage LinkedIn Sales Navigator with UAE-specific filters to identify key decision-makers in Abu Dhabi. All communications will feature Arabic-English bilingual content, with monthly market insights reports published on our Dubai/Abu Dhabi-focused social media channels (LinkedIn, Twitter). Geo-targeted Google Ads will focus exclusively on Abu Dhabi-based business keywords like "enterprise solutions Abu Dhabi" and "B2B services UAE capital".</w:t>
      </w:r>
    </w:p>
    <w:bookmarkEnd w:id="24"/>
    <w:bookmarkStart w:id="25" w:name="hyper-local-events-strategy"/>
    <w:p>
      <w:pPr>
        <w:pStyle w:val="Heading3"/>
      </w:pPr>
      <w:r>
        <w:t xml:space="preserve">Hyper-Local Events Strategy</w:t>
      </w:r>
    </w:p>
    <w:p>
      <w:pPr>
        <w:pStyle w:val="FirstParagraph"/>
      </w:pPr>
      <w:r>
        <w:t xml:space="preserve">Active participation in Abu Dhabi's premier business events including:</w:t>
      </w:r>
    </w:p>
    <w:p>
      <w:pPr>
        <w:numPr>
          <w:ilvl w:val="0"/>
          <w:numId w:val="1003"/>
        </w:numPr>
        <w:pStyle w:val="Compact"/>
      </w:pPr>
      <w:r>
        <w:t xml:space="preserve">ADIT (Abu Dhabi International Trade Show)</w:t>
      </w:r>
    </w:p>
    <w:p>
      <w:pPr>
        <w:numPr>
          <w:ilvl w:val="0"/>
          <w:numId w:val="1003"/>
        </w:numPr>
        <w:pStyle w:val="Compact"/>
      </w:pPr>
      <w:r>
        <w:t xml:space="preserve">Dubai Sustainable City Summit (held in Abu Dhabi annually)</w:t>
      </w:r>
    </w:p>
    <w:p>
      <w:pPr>
        <w:numPr>
          <w:ilvl w:val="0"/>
          <w:numId w:val="1003"/>
        </w:numPr>
        <w:pStyle w:val="Compact"/>
      </w:pPr>
      <w:r>
        <w:t xml:space="preserve">Abu Dhabi Global Market (ADGM) networking sessions</w:t>
      </w:r>
    </w:p>
    <w:p>
      <w:pPr>
        <w:pStyle w:val="FirstParagraph"/>
      </w:pPr>
      <w:r>
        <w:t xml:space="preserve">The Sales Executive will secure speaking slots at these events to establish thought leadership, with all event materials produced in Arabic-English bilingual formats.</w:t>
      </w:r>
    </w:p>
    <w:bookmarkEnd w:id="25"/>
    <w:bookmarkStart w:id="26" w:name="cultural-integration-program"/>
    <w:p>
      <w:pPr>
        <w:pStyle w:val="Heading3"/>
      </w:pPr>
      <w:r>
        <w:t xml:space="preserve">Cultural Integration Program</w:t>
      </w:r>
    </w:p>
    <w:p>
      <w:pPr>
        <w:pStyle w:val="FirstParagraph"/>
      </w:pPr>
      <w:r>
        <w:t xml:space="preserve">Implementation of the "Abu Dhabi Business Protocol" training module covering:</w:t>
      </w:r>
    </w:p>
    <w:p>
      <w:pPr>
        <w:numPr>
          <w:ilvl w:val="0"/>
          <w:numId w:val="1004"/>
        </w:numPr>
        <w:pStyle w:val="Compact"/>
      </w:pPr>
      <w:r>
        <w:t xml:space="preserve">Understanding Emirati business etiquette (gift-giving customs, meeting protocols)</w:t>
      </w:r>
    </w:p>
    <w:p>
      <w:pPr>
        <w:numPr>
          <w:ilvl w:val="0"/>
          <w:numId w:val="1004"/>
        </w:numPr>
        <w:pStyle w:val="Compact"/>
      </w:pPr>
      <w:r>
        <w:t xml:space="preserve">Navigating Abu Dhabi's regulatory environment (including DED and ADGM requirements)</w:t>
      </w:r>
    </w:p>
    <w:p>
      <w:pPr>
        <w:numPr>
          <w:ilvl w:val="0"/>
          <w:numId w:val="1004"/>
        </w:numPr>
        <w:pStyle w:val="Compact"/>
      </w:pPr>
      <w:r>
        <w:t xml:space="preserve">Building trust through relationship-based selling approaches</w:t>
      </w:r>
    </w:p>
    <w:bookmarkEnd w:id="26"/>
    <w:bookmarkEnd w:id="27"/>
    <w:bookmarkStart w:id="28" w:name="key-performance-indicators-kpis"/>
    <w:p>
      <w:pPr>
        <w:pStyle w:val="Heading2"/>
      </w:pPr>
      <w:r>
        <w:t xml:space="preserve">Key Performance Indicators (KPIs)</w:t>
      </w:r>
    </w:p>
    <w:p>
      <w:pPr>
        <w:pStyle w:val="FirstParagraph"/>
      </w:pPr>
      <w:r>
        <w:t xml:space="preserve">The Sales Executive's performance will be measured against UAE-specific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(Year 1)</w:t>
            </w:r>
          </w:p>
        </w:tc>
        <w:tc>
          <w:tcPr/>
          <w:p>
            <w:pPr>
              <w:pStyle w:val="Compact"/>
              <w:jc w:val="left"/>
            </w:pPr>
            <w:r>
              <w:t xml:space="preserve">Measurement Method</w:t>
            </w:r>
          </w:p>
        </w:tc>
      </w:tr>
      <w:tr>
        <w:tc>
          <w:tcPr/>
          <w:p>
            <w:pPr>
              <w:pStyle w:val="Compact"/>
              <w:jc w:val="left"/>
            </w:pPr>
            <w:r>
              <w:t xml:space="preserve">Revenue Generated from Abu Dhabi Market</w:t>
            </w:r>
          </w:p>
        </w:tc>
        <w:tc>
          <w:tcPr/>
          <w:p>
            <w:pPr>
              <w:pStyle w:val="Compact"/>
              <w:jc w:val="left"/>
            </w:pPr>
            <w:r>
              <w:t xml:space="preserve">AED 12.5M</w:t>
            </w:r>
          </w:p>
        </w:tc>
        <w:tc>
          <w:tcPr/>
          <w:p>
            <w:pPr>
              <w:pStyle w:val="Compact"/>
              <w:jc w:val="left"/>
            </w:pPr>
            <w:r>
              <w:t xml:space="preserve">CRM sales tracking</w:t>
            </w:r>
          </w:p>
        </w:tc>
      </w:tr>
      <w:tr>
        <w:tc>
          <w:tcPr/>
          <w:p>
            <w:pPr>
              <w:pStyle w:val="Compact"/>
              <w:jc w:val="left"/>
            </w:pPr>
            <w:r>
              <w:t xml:space="preserve">Client Acquisition Rate in Abu Dhabi</w:t>
            </w:r>
          </w:p>
        </w:tc>
        <w:tc>
          <w:tcPr/>
          <w:p>
            <w:pPr>
              <w:pStyle w:val="Compact"/>
              <w:jc w:val="left"/>
            </w:pPr>
            <w:r>
              <w:t xml:space="preserve">35% month-over-month growth</w:t>
            </w:r>
          </w:p>
        </w:tc>
        <w:tc>
          <w:tcPr/>
          <w:p>
            <w:pPr>
              <w:pStyle w:val="Compact"/>
              <w:jc w:val="left"/>
            </w:pPr>
            <w:r>
              <w:t xml:space="preserve">Monthly sales reports</w:t>
            </w:r>
          </w:p>
        </w:tc>
      </w:tr>
      <w:tr>
        <w:tc>
          <w:tcPr/>
          <w:p>
            <w:pPr>
              <w:pStyle w:val="Compact"/>
              <w:jc w:val="left"/>
            </w:pPr>
            <w:r>
              <w:t xml:space="preserve">Cultural Competency Score (Per Client)</w:t>
            </w:r>
          </w:p>
        </w:tc>
        <w:tc>
          <w:tcPr/>
          <w:p>
            <w:pPr>
              <w:pStyle w:val="Compact"/>
              <w:jc w:val="left"/>
            </w:pPr>
            <w:r>
              <w:t xml:space="preserve">≥4.5/5</w:t>
            </w:r>
          </w:p>
        </w:tc>
        <w:tc>
          <w:tcPr/>
          <w:p>
            <w:pPr>
              <w:pStyle w:val="Compact"/>
              <w:jc w:val="left"/>
            </w:pPr>
            <w:r>
              <w:t xml:space="preserve">Post-meeting client surveys in Arabic/English</w:t>
            </w:r>
          </w:p>
        </w:tc>
      </w:tr>
      <w:tr>
        <w:tc>
          <w:tcPr/>
          <w:p>
            <w:pPr>
              <w:pStyle w:val="Compact"/>
              <w:jc w:val="left"/>
            </w:pPr>
            <w:r>
              <w:t xml:space="preserve">Vision 2030 Alignment Index</w:t>
            </w:r>
          </w:p>
        </w:tc>
        <w:tc>
          <w:tcPr/>
          <w:p>
            <w:pPr>
              <w:pStyle w:val="Compact"/>
              <w:jc w:val="left"/>
            </w:pPr>
            <w:r>
              <w:t xml:space="preserve">85% of deals referencing UAE strategic goals</w:t>
            </w:r>
          </w:p>
        </w:tc>
        <w:tc>
          <w:tcPr/>
          <w:p>
            <w:pPr>
              <w:pStyle w:val="Compact"/>
              <w:jc w:val="left"/>
            </w:pPr>
            <w:r>
              <w:t xml:space="preserve">Sales documentation review</w:t>
            </w:r>
          </w:p>
        </w:tc>
      </w:tr>
    </w:tbl>
    <w:bookmarkEnd w:id="28"/>
    <w:bookmarkStart w:id="29" w:name="budget-allocation-abu-dhabi-focus"/>
    <w:p>
      <w:pPr>
        <w:pStyle w:val="Heading2"/>
      </w:pPr>
      <w:r>
        <w:t xml:space="preserve">Budget Allocation (Abu Dhabi Focus)</w:t>
      </w:r>
    </w:p>
    <w:p>
      <w:pPr>
        <w:pStyle w:val="FirstParagraph"/>
      </w:pPr>
      <w:r>
        <w:t xml:space="preserve">Total annual marketing budget: AED 1.8M, with 75% allocated specifically to Abu Dhabi initiatives:</w:t>
      </w:r>
    </w:p>
    <w:p>
      <w:pPr>
        <w:numPr>
          <w:ilvl w:val="0"/>
          <w:numId w:val="1005"/>
        </w:numPr>
        <w:pStyle w:val="Compact"/>
      </w:pPr>
      <w:r>
        <w:rPr>
          <w:bCs/>
          <w:b/>
        </w:rPr>
        <w:t xml:space="preserve">Event Participation:</w:t>
      </w:r>
      <w:r>
        <w:t xml:space="preserve"> </w:t>
      </w:r>
      <w:r>
        <w:t xml:space="preserve">30% (ADIT, ADGM events)</w:t>
      </w:r>
    </w:p>
    <w:p>
      <w:pPr>
        <w:numPr>
          <w:ilvl w:val="0"/>
          <w:numId w:val="1005"/>
        </w:numPr>
        <w:pStyle w:val="Compact"/>
      </w:pPr>
      <w:r>
        <w:rPr>
          <w:bCs/>
          <w:b/>
        </w:rPr>
        <w:t xml:space="preserve">Cultural Training &amp; Localization:</w:t>
      </w:r>
      <w:r>
        <w:t xml:space="preserve"> </w:t>
      </w:r>
      <w:r>
        <w:t xml:space="preserve">25% (Arabic translation services, Emirati business etiquette workshops)</w:t>
      </w:r>
    </w:p>
    <w:p>
      <w:pPr>
        <w:numPr>
          <w:ilvl w:val="0"/>
          <w:numId w:val="1005"/>
        </w:numPr>
        <w:pStyle w:val="Compact"/>
      </w:pPr>
      <w:r>
        <w:rPr>
          <w:bCs/>
          <w:b/>
        </w:rPr>
        <w:t xml:space="preserve">Digital Campaigns:</w:t>
      </w:r>
      <w:r>
        <w:t xml:space="preserve"> </w:t>
      </w:r>
      <w:r>
        <w:t xml:space="preserve">20% (UAE-targeted social media, LinkedIn Ads)</w:t>
      </w:r>
    </w:p>
    <w:p>
      <w:pPr>
        <w:numPr>
          <w:ilvl w:val="0"/>
          <w:numId w:val="1005"/>
        </w:numPr>
        <w:pStyle w:val="Compact"/>
      </w:pPr>
      <w:r>
        <w:rPr>
          <w:bCs/>
          <w:b/>
        </w:rPr>
        <w:t xml:space="preserve">Market Intelligence:</w:t>
      </w:r>
      <w:r>
        <w:t xml:space="preserve"> </w:t>
      </w:r>
      <w:r>
        <w:t xml:space="preserve">10% (Abu Dhabi market trend analysis from local research firms)</w:t>
      </w:r>
    </w:p>
    <w:bookmarkEnd w:id="29"/>
    <w:bookmarkStart w:id="33" w:name="timeline-implementation"/>
    <w:p>
      <w:pPr>
        <w:pStyle w:val="Heading2"/>
      </w:pPr>
      <w:r>
        <w:t xml:space="preserve">Timeline &amp; Implementation</w:t>
      </w:r>
    </w:p>
    <w:p>
      <w:pPr>
        <w:pStyle w:val="FirstParagraph"/>
      </w:pPr>
      <w:r>
        <w:t xml:space="preserve">The Marketing Plan for the Sales Executive role follows this phased rollout in United Arab Emirates Abu Dhabi:</w:t>
      </w:r>
    </w:p>
    <w:bookmarkStart w:id="30" w:name="phase-1-foundation-months-1-3"/>
    <w:p>
      <w:pPr>
        <w:pStyle w:val="Heading3"/>
      </w:pPr>
      <w:r>
        <w:t xml:space="preserve">Phase 1: Foundation (Months 1-3)</w:t>
      </w:r>
    </w:p>
    <w:p>
      <w:pPr>
        <w:numPr>
          <w:ilvl w:val="0"/>
          <w:numId w:val="1006"/>
        </w:numPr>
        <w:pStyle w:val="Compact"/>
      </w:pPr>
      <w:r>
        <w:t xml:space="preserve">Complete cultural immersion training for Sales Executive</w:t>
      </w:r>
    </w:p>
    <w:p>
      <w:pPr>
        <w:numPr>
          <w:ilvl w:val="0"/>
          <w:numId w:val="1006"/>
        </w:numPr>
        <w:pStyle w:val="Compact"/>
      </w:pPr>
      <w:r>
        <w:t xml:space="preserve">Establish UAE business entity registration with DED</w:t>
      </w:r>
    </w:p>
    <w:p>
      <w:pPr>
        <w:numPr>
          <w:ilvl w:val="0"/>
          <w:numId w:val="1006"/>
        </w:numPr>
        <w:pStyle w:val="Compact"/>
      </w:pPr>
      <w:r>
        <w:t xml:space="preserve">Leverage ADGM network for initial lead generation</w:t>
      </w:r>
    </w:p>
    <w:bookmarkEnd w:id="30"/>
    <w:bookmarkStart w:id="31" w:name="phase-2-market-penetration-months-4-8"/>
    <w:p>
      <w:pPr>
        <w:pStyle w:val="Heading3"/>
      </w:pPr>
      <w:r>
        <w:t xml:space="preserve">Phase 2: Market Penetration (Months 4-8)</w:t>
      </w:r>
    </w:p>
    <w:p>
      <w:pPr>
        <w:numPr>
          <w:ilvl w:val="0"/>
          <w:numId w:val="1007"/>
        </w:numPr>
        <w:pStyle w:val="Compact"/>
      </w:pPr>
      <w:r>
        <w:t xml:space="preserve">Execute first Abu Dhabi trade show participation</w:t>
      </w:r>
    </w:p>
    <w:p>
      <w:pPr>
        <w:numPr>
          <w:ilvl w:val="0"/>
          <w:numId w:val="1007"/>
        </w:numPr>
        <w:pStyle w:val="Compact"/>
      </w:pPr>
      <w:r>
        <w:t xml:space="preserve">Launch bilingual digital campaign targeting Abu Dhabi SMEs</w:t>
      </w:r>
    </w:p>
    <w:p>
      <w:pPr>
        <w:numPr>
          <w:ilvl w:val="0"/>
          <w:numId w:val="1007"/>
        </w:numPr>
        <w:pStyle w:val="Compact"/>
      </w:pPr>
      <w:r>
        <w:t xml:space="preserve">Negotiate first government enterprise contract aligned with Vision 2030</w:t>
      </w:r>
    </w:p>
    <w:bookmarkEnd w:id="31"/>
    <w:bookmarkStart w:id="32" w:name="phase-3-sustainable-growth-months-9-12"/>
    <w:p>
      <w:pPr>
        <w:pStyle w:val="Heading3"/>
      </w:pPr>
      <w:r>
        <w:t xml:space="preserve">Phase 3: Sustainable Growth (Months 9-12)</w:t>
      </w:r>
    </w:p>
    <w:p>
      <w:pPr>
        <w:numPr>
          <w:ilvl w:val="0"/>
          <w:numId w:val="1008"/>
        </w:numPr>
        <w:pStyle w:val="Compact"/>
      </w:pPr>
      <w:r>
        <w:t xml:space="preserve">Develop Abu Dhabi-specific partner ecosystem</w:t>
      </w:r>
    </w:p>
    <w:p>
      <w:pPr>
        <w:numPr>
          <w:ilvl w:val="0"/>
          <w:numId w:val="1008"/>
        </w:numPr>
        <w:pStyle w:val="Compact"/>
      </w:pPr>
      <w:r>
        <w:t xml:space="preserve">Achieve AED 6.5M revenue milestone in Abu Dhabi market</w:t>
      </w:r>
    </w:p>
    <w:p>
      <w:pPr>
        <w:numPr>
          <w:ilvl w:val="0"/>
          <w:numId w:val="1008"/>
        </w:numPr>
        <w:pStyle w:val="Compact"/>
      </w:pPr>
      <w:r>
        <w:t xml:space="preserve">Establish Sales Executive as recognized industry leader through ADNOC collaboration projects</w:t>
      </w:r>
    </w:p>
    <w:bookmarkEnd w:id="32"/>
    <w:bookmarkEnd w:id="33"/>
    <w:bookmarkStart w:id="34" w:name="X083a032c2c4fba19dec068dd010a6fffe656c4a"/>
    <w:p>
      <w:pPr>
        <w:pStyle w:val="Heading2"/>
      </w:pPr>
      <w:r>
        <w:t xml:space="preserve">Conclusion: Strategic Imperative for Abu Dhabi Growth</w:t>
      </w:r>
    </w:p>
    <w:p>
      <w:pPr>
        <w:pStyle w:val="FirstParagraph"/>
      </w:pPr>
      <w:r>
        <w:t xml:space="preserve">This Marketing Plan positions the Sales Executive as the critical catalyst for our organization's expansion within Abu Dhabi, United Arab Emirates. By embedding cultural intelligence into every sales interaction and aligning with Abu Dhabi's national development priorities, this role will transform market perception and generate sustainable growth. The success of this Sales Executive position directly contributes to our broader vision of becoming the leading business solutions provider across the UAE capital region by 2027, delivering exceptional ROI through culturally intelligent sales execution that respects Abu Dhabi's unique economic identity while driving measurable business outcomes.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Abu Dhabi, United Arab Emirates</dc:title>
  <dc:creator/>
  <dc:language>en</dc:language>
  <cp:keywords/>
  <dcterms:created xsi:type="dcterms:W3CDTF">2025-12-12T02:54:53Z</dcterms:created>
  <dcterms:modified xsi:type="dcterms:W3CDTF">2025-12-12T02:54:53Z</dcterms:modified>
</cp:coreProperties>
</file>

<file path=docProps/custom.xml><?xml version="1.0" encoding="utf-8"?>
<Properties xmlns="http://schemas.openxmlformats.org/officeDocument/2006/custom-properties" xmlns:vt="http://schemas.openxmlformats.org/officeDocument/2006/docPropsVTypes"/>
</file>