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1" w:name="Xdc762e50b425bc7d6812e97970e050dbcafb37b"/>
    <w:p>
      <w:pPr>
        <w:pStyle w:val="Heading1"/>
      </w:pPr>
      <w:r>
        <w:t xml:space="preserve">Marketing Plan: Attracting and Developing Software Engineers for Tashkent, Uzbekistan's Tech Ecosystem</w:t>
      </w:r>
    </w:p>
    <w:bookmarkStart w:id="20" w:name="executive-summary"/>
    <w:p>
      <w:pPr>
        <w:pStyle w:val="Heading2"/>
      </w:pPr>
      <w:r>
        <w:t xml:space="preserve">Executive Summary</w:t>
      </w:r>
    </w:p>
    <w:p>
      <w:pPr>
        <w:pStyle w:val="FirstParagraph"/>
      </w:pPr>
      <w:r>
        <w:t xml:space="preserve">This comprehensive Marketing Plan outlines a strategic approach to recruit, retain, and develop top-tier Software Engineers within Tashkent, Uzbekistan. As Uzbekistan accelerates its digital transformation under the National Digital Strategy 2030, Tashkent has emerged as the undisputed hub for IT innovation. The plan directly addresses the critical shortage of skilled software engineering talent—a challenge impacting 68% of local tech firms (IT Association of Uzbekistan, 2023)—by implementing targeted recruitment campaigns, localized career development pathways, and employer branding initiatives specifically tailored for Tashkent's dynamic market.</w:t>
      </w:r>
    </w:p>
    <w:bookmarkEnd w:id="20"/>
    <w:bookmarkStart w:id="21" w:name="X18bca0a52de19204a5075e1ec504b4c370bd1ac"/>
    <w:p>
      <w:pPr>
        <w:pStyle w:val="Heading2"/>
      </w:pPr>
      <w:r>
        <w:t xml:space="preserve">Market Analysis: Software Engineering Demand in Uzbekistan Tashkent</w:t>
      </w:r>
    </w:p>
    <w:p>
      <w:pPr>
        <w:pStyle w:val="FirstParagraph"/>
      </w:pPr>
      <w:r>
        <w:t xml:space="preserve">Tashkent’s software engineering talent pool faces intense pressure from exponential growth. The city hosts over 1,200 IT companies, including global players like Huawei and local innovators such as Uzum Group and Aqsho. With the government targeting $1 billion in annual IT exports by 2025 (Digital Uzbekistan Strategy), demand for skilled Software Engineers has surged by 35% year-over-year. However, a severe talent gap persists: approximately 40,000 unfilled engineering roles across Tashkent’s tech sector. Crucially, local universities produce only 6,500 IT graduates annually—less than half the required volume. This imbalance creates a strategic imperative for employers to adopt proactive talent acquisition strategies within Uzbekistan’s capital city.</w:t>
      </w:r>
    </w:p>
    <w:bookmarkEnd w:id="21"/>
    <w:bookmarkStart w:id="22" w:name="X4e3a3ddda7c3c0efdb3a0a054ae89645cc0bf3a"/>
    <w:p>
      <w:pPr>
        <w:pStyle w:val="Heading2"/>
      </w:pPr>
      <w:r>
        <w:t xml:space="preserve">Target Audience: Software Engineers in Tashkent</w:t>
      </w:r>
    </w:p>
    <w:p>
      <w:pPr>
        <w:pStyle w:val="FirstParagraph"/>
      </w:pPr>
      <w:r>
        <w:t xml:space="preserve">The primary audience comprises two distinct segments:</w:t>
      </w:r>
    </w:p>
    <w:p>
      <w:pPr>
        <w:numPr>
          <w:ilvl w:val="0"/>
          <w:numId w:val="1001"/>
        </w:numPr>
        <w:pStyle w:val="Compact"/>
      </w:pPr>
      <w:r>
        <w:rPr>
          <w:bCs/>
          <w:b/>
        </w:rPr>
        <w:t xml:space="preserve">Local Talent (Tashkent-Based):</w:t>
      </w:r>
      <w:r>
        <w:t xml:space="preserve"> </w:t>
      </w:r>
      <w:r>
        <w:t xml:space="preserve">Recent IT graduates from universities like the Uzbekistan State University of Economics and Tashkent Institute of Irrigation and Agricultural Mechanization. This group prioritizes competitive salaries (average $500–$1,200/month), career growth paths, and remote work flexibility.</w:t>
      </w:r>
    </w:p>
    <w:p>
      <w:pPr>
        <w:numPr>
          <w:ilvl w:val="0"/>
          <w:numId w:val="1001"/>
        </w:numPr>
        <w:pStyle w:val="Compact"/>
      </w:pPr>
      <w:r>
        <w:rPr>
          <w:bCs/>
          <w:b/>
        </w:rPr>
        <w:t xml:space="preserve">International Talent:</w:t>
      </w:r>
      <w:r>
        <w:t xml:space="preserve"> </w:t>
      </w:r>
      <w:r>
        <w:t xml:space="preserve">Experienced engineers seeking relocation opportunities. Key motivators include Uzbekistan’s favorable tax regime (0% income tax for tech workers under Digital Economy Law), Tashkent’s quality of life (affordable housing, cultural richness), and visa facilitation via the "Digital Talent" program.</w:t>
      </w:r>
    </w:p>
    <w:bookmarkEnd w:id="22"/>
    <w:bookmarkStart w:id="23" w:name="X8ff776d7535a6e459db9b84354062bcf81d4dde"/>
    <w:p>
      <w:pPr>
        <w:pStyle w:val="Heading2"/>
      </w:pPr>
      <w:r>
        <w:t xml:space="preserve">Unique Value Proposition: Why Choose Tashkent as a Software Engineer?</w:t>
      </w:r>
    </w:p>
    <w:p>
      <w:pPr>
        <w:pStyle w:val="FirstParagraph"/>
      </w:pPr>
      <w:r>
        <w:t xml:space="preserve">Our Marketing Plan positions Tashkent not just as a location, but as an accelerator for engineering careers:</w:t>
      </w:r>
    </w:p>
    <w:p>
      <w:pPr>
        <w:numPr>
          <w:ilvl w:val="0"/>
          <w:numId w:val="1002"/>
        </w:numPr>
        <w:pStyle w:val="Compact"/>
      </w:pPr>
      <w:r>
        <w:rPr>
          <w:bCs/>
          <w:b/>
        </w:rPr>
        <w:t xml:space="preserve">Growth Trajectory:</w:t>
      </w:r>
      <w:r>
        <w:t xml:space="preserve"> </w:t>
      </w:r>
      <w:r>
        <w:t xml:space="preserve">"Join Uzbekistan’s fastest-growing tech hub where your work directly shapes the nation’s digital future."</w:t>
      </w:r>
    </w:p>
    <w:p>
      <w:pPr>
        <w:numPr>
          <w:ilvl w:val="0"/>
          <w:numId w:val="1002"/>
        </w:numPr>
        <w:pStyle w:val="Compact"/>
      </w:pPr>
      <w:r>
        <w:rPr>
          <w:bCs/>
          <w:b/>
        </w:rPr>
        <w:t xml:space="preserve">Competitive Compensation:</w:t>
      </w:r>
      <w:r>
        <w:t xml:space="preserve"> </w:t>
      </w:r>
      <w:r>
        <w:t xml:space="preserve">Market-leading packages including housing allowances, 100% medical coverage, and performance bonuses—outpacing regional averages.</w:t>
      </w:r>
    </w:p>
    <w:p>
      <w:pPr>
        <w:numPr>
          <w:ilvl w:val="0"/>
          <w:numId w:val="1002"/>
        </w:numPr>
        <w:pStyle w:val="Compact"/>
      </w:pPr>
      <w:r>
        <w:rPr>
          <w:bCs/>
          <w:b/>
        </w:rPr>
        <w:t xml:space="preserve">Localized Development:</w:t>
      </w:r>
      <w:r>
        <w:t xml:space="preserve"> </w:t>
      </w:r>
      <w:r>
        <w:t xml:space="preserve">Tashkent-specific upskilling programs aligned with national priorities (e.g., AI for agriculture, fintech solutions for Uzbekistan’s banking sector).</w:t>
      </w:r>
    </w:p>
    <w:p>
      <w:pPr>
        <w:numPr>
          <w:ilvl w:val="0"/>
          <w:numId w:val="1002"/>
        </w:numPr>
        <w:pStyle w:val="Compact"/>
      </w:pPr>
      <w:r>
        <w:rPr>
          <w:bCs/>
          <w:b/>
        </w:rPr>
        <w:t xml:space="preserve">Cultural Immersion:</w:t>
      </w:r>
      <w:r>
        <w:t xml:space="preserve"> </w:t>
      </w:r>
      <w:r>
        <w:t xml:space="preserve">Programs including free Uzbek language courses and city immersion weekends in historic Tashkent.</w:t>
      </w:r>
    </w:p>
    <w:bookmarkEnd w:id="23"/>
    <w:bookmarkStart w:id="27" w:name="marketing-strategy-tactics"/>
    <w:p>
      <w:pPr>
        <w:pStyle w:val="Heading2"/>
      </w:pPr>
      <w:r>
        <w:t xml:space="preserve">Marketing Strategy &amp; Tactics</w:t>
      </w:r>
    </w:p>
    <w:p>
      <w:pPr>
        <w:pStyle w:val="FirstParagraph"/>
      </w:pPr>
      <w:r>
        <w:t xml:space="preserve">Our multi-channel approach is engineered for maximum impact in Uzbekistan’s Tashkent ecosystem:</w:t>
      </w:r>
    </w:p>
    <w:bookmarkStart w:id="24" w:name="X76081b7a999f523b34d39f63764ec9229b7d7b8"/>
    <w:p>
      <w:pPr>
        <w:pStyle w:val="Heading3"/>
      </w:pPr>
      <w:r>
        <w:t xml:space="preserve">1. Employer Branding Campaign: "Build the Future, Build in Tashkent"</w:t>
      </w:r>
    </w:p>
    <w:p>
      <w:pPr>
        <w:pStyle w:val="FirstParagraph"/>
      </w:pPr>
      <w:r>
        <w:t xml:space="preserve">Launch a video series showcasing Software Engineers at work across key projects (e.g., Uzum’s mobile app development, government e-services platforms). Distribute via Uzbekistan-specific channels:</w:t>
      </w:r>
    </w:p>
    <w:p>
      <w:pPr>
        <w:numPr>
          <w:ilvl w:val="0"/>
          <w:numId w:val="1003"/>
        </w:numPr>
        <w:pStyle w:val="Compact"/>
      </w:pPr>
      <w:r>
        <w:t xml:space="preserve">TikTok and Instagram campaigns targeting Tashkent universities (using hashtags #TashkentDev #UzbekistanEngineer)</w:t>
      </w:r>
    </w:p>
    <w:p>
      <w:pPr>
        <w:numPr>
          <w:ilvl w:val="0"/>
          <w:numId w:val="1003"/>
        </w:numPr>
        <w:pStyle w:val="Compact"/>
      </w:pPr>
      <w:r>
        <w:t xml:space="preserve">Partnerships with Tashkent Tech Park for live career fairs (held quarterly at the park’s innovation hub)</w:t>
      </w:r>
    </w:p>
    <w:p>
      <w:pPr>
        <w:numPr>
          <w:ilvl w:val="0"/>
          <w:numId w:val="1003"/>
        </w:numPr>
        <w:pStyle w:val="Compact"/>
      </w:pPr>
      <w:r>
        <w:t xml:space="preserve">Collaborations with influencers like "Digital Uzbekistan" on YouTube for tech career discussions</w:t>
      </w:r>
    </w:p>
    <w:bookmarkEnd w:id="24"/>
    <w:bookmarkStart w:id="25" w:name="recruitment-partnerships-in-tashkent"/>
    <w:p>
      <w:pPr>
        <w:pStyle w:val="Heading3"/>
      </w:pPr>
      <w:r>
        <w:t xml:space="preserve">2. Recruitment Partnerships in Tashkent</w:t>
      </w:r>
    </w:p>
    <w:p>
      <w:pPr>
        <w:pStyle w:val="FirstParagraph"/>
      </w:pPr>
      <w:r>
        <w:t xml:space="preserve">Leverage local networks critical to success:</w:t>
      </w:r>
    </w:p>
    <w:p>
      <w:pPr>
        <w:numPr>
          <w:ilvl w:val="0"/>
          <w:numId w:val="1004"/>
        </w:numPr>
        <w:pStyle w:val="Compact"/>
      </w:pPr>
      <w:r>
        <w:rPr>
          <w:bCs/>
          <w:b/>
        </w:rPr>
        <w:t xml:space="preserve">University Alliances:</w:t>
      </w:r>
      <w:r>
        <w:t xml:space="preserve"> </w:t>
      </w:r>
      <w:r>
        <w:t xml:space="preserve">Direct internship pipelines with Tashkent State Technical University and Alisher Navoiy University.</w:t>
      </w:r>
    </w:p>
    <w:p>
      <w:pPr>
        <w:numPr>
          <w:ilvl w:val="0"/>
          <w:numId w:val="1004"/>
        </w:numPr>
        <w:pStyle w:val="Compact"/>
      </w:pPr>
      <w:r>
        <w:rPr>
          <w:bCs/>
          <w:b/>
        </w:rPr>
        <w:t xml:space="preserve">Tech Community Engagement:</w:t>
      </w:r>
      <w:r>
        <w:t xml:space="preserve"> </w:t>
      </w:r>
      <w:r>
        <w:t xml:space="preserve">Sponsorships of Tashkent’s largest developer meetup (Tashkent Tech Meetup, 3,500+ members) and hackathons like "UzDevHack."</w:t>
      </w:r>
    </w:p>
    <w:p>
      <w:pPr>
        <w:numPr>
          <w:ilvl w:val="0"/>
          <w:numId w:val="1004"/>
        </w:numPr>
        <w:pStyle w:val="Compact"/>
      </w:pPr>
      <w:r>
        <w:rPr>
          <w:bCs/>
          <w:b/>
        </w:rPr>
        <w:t xml:space="preserve">Government Collaboration:</w:t>
      </w:r>
      <w:r>
        <w:t xml:space="preserve"> </w:t>
      </w:r>
      <w:r>
        <w:t xml:space="preserve">Co-developing certification programs with the Ministry of Digital Development to validate skills for Uzbekistan’s IT workforce.</w:t>
      </w:r>
    </w:p>
    <w:bookmarkEnd w:id="25"/>
    <w:bookmarkStart w:id="26" w:name="retention-development-in-tashkent"/>
    <w:p>
      <w:pPr>
        <w:pStyle w:val="Heading3"/>
      </w:pPr>
      <w:r>
        <w:t xml:space="preserve">3. Retention &amp; Development in Tashkent</w:t>
      </w:r>
    </w:p>
    <w:p>
      <w:pPr>
        <w:pStyle w:val="FirstParagraph"/>
      </w:pPr>
      <w:r>
        <w:t xml:space="preserve">To reduce turnover (currently 28% annually in Tashkent), we implement:</w:t>
      </w:r>
    </w:p>
    <w:p>
      <w:pPr>
        <w:numPr>
          <w:ilvl w:val="0"/>
          <w:numId w:val="1005"/>
        </w:numPr>
        <w:pStyle w:val="Compact"/>
      </w:pPr>
      <w:r>
        <w:rPr>
          <w:bCs/>
          <w:b/>
        </w:rPr>
        <w:t xml:space="preserve">Tashkent Career Ladder Program:</w:t>
      </w:r>
      <w:r>
        <w:t xml:space="preserve"> </w:t>
      </w:r>
      <w:r>
        <w:t xml:space="preserve">Customized growth tracks from Junior Engineer to Lead Architect, with bi-annual skill assessments tied to Uzbekistan’s tech priorities.</w:t>
      </w:r>
    </w:p>
    <w:p>
      <w:pPr>
        <w:numPr>
          <w:ilvl w:val="0"/>
          <w:numId w:val="1005"/>
        </w:numPr>
        <w:pStyle w:val="Compact"/>
      </w:pPr>
      <w:r>
        <w:rPr>
          <w:bCs/>
          <w:b/>
        </w:rPr>
        <w:t xml:space="preserve">Local Impact Projects:</w:t>
      </w:r>
      <w:r>
        <w:t xml:space="preserve"> </w:t>
      </w:r>
      <w:r>
        <w:t xml:space="preserve">Assignments on government-backed initiatives (e.g., developing a Tashkent City Smart Traffic System), enhancing professional relevance within Uzbekistan.</w:t>
      </w:r>
    </w:p>
    <w:p>
      <w:pPr>
        <w:numPr>
          <w:ilvl w:val="0"/>
          <w:numId w:val="1005"/>
        </w:numPr>
        <w:pStyle w:val="Compact"/>
      </w:pPr>
      <w:r>
        <w:rPr>
          <w:bCs/>
          <w:b/>
        </w:rPr>
        <w:t xml:space="preserve">Community Integration:</w:t>
      </w:r>
      <w:r>
        <w:t xml:space="preserve"> </w:t>
      </w:r>
      <w:r>
        <w:t xml:space="preserve">Monthly networking events with Tashkent IT leaders at venues like the Silk Road Cafe, fostering belonging in Uzbekistan’s capital.</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65% of resources to digital recruitment (social media, university partnerships), 25% to retention initiatives (training, community events), and 10% for market analysis. The phased timeline spans 18 months:</w:t>
      </w:r>
    </w:p>
    <w:p>
      <w:pPr>
        <w:numPr>
          <w:ilvl w:val="0"/>
          <w:numId w:val="1006"/>
        </w:numPr>
        <w:pStyle w:val="Compact"/>
      </w:pPr>
      <w:r>
        <w:rPr>
          <w:bCs/>
          <w:b/>
        </w:rPr>
        <w:t xml:space="preserve">Months 1-3:</w:t>
      </w:r>
      <w:r>
        <w:t xml:space="preserve"> </w:t>
      </w:r>
      <w:r>
        <w:t xml:space="preserve">Launch employer branding campaign; establish university partnerships.</w:t>
      </w:r>
    </w:p>
    <w:p>
      <w:pPr>
        <w:numPr>
          <w:ilvl w:val="0"/>
          <w:numId w:val="1006"/>
        </w:numPr>
        <w:pStyle w:val="Compact"/>
      </w:pPr>
      <w:r>
        <w:rPr>
          <w:bCs/>
          <w:b/>
        </w:rPr>
        <w:t xml:space="preserve">Months 4-9:</w:t>
      </w:r>
      <w:r>
        <w:t xml:space="preserve"> </w:t>
      </w:r>
      <w:r>
        <w:t xml:space="preserve">Execute Tashkent Tech Park events; begin certification programs.</w:t>
      </w:r>
    </w:p>
    <w:p>
      <w:pPr>
        <w:numPr>
          <w:ilvl w:val="0"/>
          <w:numId w:val="1006"/>
        </w:numPr>
        <w:pStyle w:val="Compact"/>
      </w:pPr>
      <w:r>
        <w:rPr>
          <w:bCs/>
          <w:b/>
        </w:rPr>
        <w:t xml:space="preserve">Months 10-18:</w:t>
      </w:r>
      <w:r>
        <w:t xml:space="preserve"> </w:t>
      </w:r>
      <w:r>
        <w:t xml:space="preserve">Scale retention programs; measure success via reduced churn and increased local talent pipeline (target: 50% hire from within Tashkent’s universities).</w:t>
      </w:r>
    </w:p>
    <w:bookmarkEnd w:id="28"/>
    <w:bookmarkStart w:id="29" w:name="success-metrics"/>
    <w:p>
      <w:pPr>
        <w:pStyle w:val="Heading2"/>
      </w:pPr>
      <w:r>
        <w:t xml:space="preserve">Success Metrics</w:t>
      </w:r>
    </w:p>
    <w:p>
      <w:pPr>
        <w:pStyle w:val="FirstParagraph"/>
      </w:pPr>
      <w:r>
        <w:t xml:space="preserve">We will track progress through Uzbekistan-specific KPIs:</w:t>
      </w:r>
    </w:p>
    <w:p>
      <w:pPr>
        <w:numPr>
          <w:ilvl w:val="0"/>
          <w:numId w:val="1007"/>
        </w:numPr>
        <w:pStyle w:val="Compact"/>
      </w:pPr>
      <w:r>
        <w:t xml:space="preserve">Fill rate for Software Engineer roles: Target 90% within 6 months of campaign launch.</w:t>
      </w:r>
    </w:p>
    <w:p>
      <w:pPr>
        <w:numPr>
          <w:ilvl w:val="0"/>
          <w:numId w:val="1007"/>
        </w:numPr>
        <w:pStyle w:val="Compact"/>
      </w:pPr>
      <w:r>
        <w:t xml:space="preserve">Local talent acquisition rate: Achieve 45% of hires from Tashkent universities by Year 2.</w:t>
      </w:r>
    </w:p>
    <w:p>
      <w:pPr>
        <w:numPr>
          <w:ilvl w:val="0"/>
          <w:numId w:val="1007"/>
        </w:numPr>
        <w:pStyle w:val="Compact"/>
      </w:pPr>
      <w:r>
        <w:t xml:space="preserve">Employee retention: Reduce turnover to below industry average (20%) within 12 months.</w:t>
      </w:r>
    </w:p>
    <w:p>
      <w:pPr>
        <w:numPr>
          <w:ilvl w:val="0"/>
          <w:numId w:val="1007"/>
        </w:numPr>
        <w:pStyle w:val="Compact"/>
      </w:pPr>
      <w:r>
        <w:t xml:space="preserve">Brand perception: Increase "Top Employer for Software Engineers in Uzbekistan" recognition (measured via annual survey of IT graduates).</w:t>
      </w:r>
    </w:p>
    <w:bookmarkEnd w:id="29"/>
    <w:bookmarkStart w:id="30" w:name="Xd07784a4578e167fd9a9ae49deee99d837fba9e"/>
    <w:p>
      <w:pPr>
        <w:pStyle w:val="Heading2"/>
      </w:pPr>
      <w:r>
        <w:t xml:space="preserve">Conclusion: Engineering Uzbekistan’s Digital Future</w:t>
      </w:r>
    </w:p>
    <w:p>
      <w:pPr>
        <w:pStyle w:val="FirstParagraph"/>
      </w:pPr>
      <w:r>
        <w:t xml:space="preserve">This Marketing Plan transcends conventional recruitment—it is a strategic investment in Tashkent’s tech ecosystem and Uzbekistan’s digital sovereignty. By embedding our employer value proposition within Tashkent’s unique cultural, economic, and developmental context, we position software engineering as the catalyst for national progress. Every Software Engineer hired becomes not just an employee, but a partner in Uzbekistan’s vision of becoming a leading Central Asian tech nation by 2030. The time to act is now: Tashkent’s talent market is poised for unprecedented growth, and our plan ensures we lead the charge.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Tashkent, Uzbekistan</dc:title>
  <dc:creator/>
  <dc:language>en</dc:language>
  <cp:keywords/>
  <dcterms:created xsi:type="dcterms:W3CDTF">2025-12-14T04:01:13Z</dcterms:created>
  <dcterms:modified xsi:type="dcterms:W3CDTF">2025-12-14T04:01:13Z</dcterms:modified>
</cp:coreProperties>
</file>

<file path=docProps/custom.xml><?xml version="1.0" encoding="utf-8"?>
<Properties xmlns="http://schemas.openxmlformats.org/officeDocument/2006/custom-properties" xmlns:vt="http://schemas.openxmlformats.org/officeDocument/2006/docPropsVTypes"/>
</file>