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8" w:name="Xdcbb0e0bd0a86ccbbf17d5a0b052b0d4ebd16c3"/>
    <w:p>
      <w:pPr>
        <w:pStyle w:val="Heading1"/>
      </w:pPr>
      <w:r>
        <w:t xml:space="preserve">Comprehensive Marketing Plan for Premium Speech Therapist Services in Egypt Alexandria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Speech Therapist practice in Egypt Alexandria, targeting underserved communities across the city. Recognizing Alexandria's unique cultural fabric, economic landscape, and healthcare gaps, this plan prioritizes accessibility, cultural sensitivity, and community trust-building. With over 5 million residents in Egypt Alexandria—making it the nation's second-largest city—the demand for specialized speech therapy services remains significantly unmet due to low public awareness and limited dedicated providers. This initiative aims to position our Speech Therapist practice as the premier choice for pediatric, adult, and geriatric communication disorders within Egypt Alexandria.</w:t>
      </w:r>
    </w:p>
    <w:bookmarkEnd w:id="20"/>
    <w:bookmarkStart w:id="21" w:name="Xb408f64382eb595ee952f1a2ce08fdbb919bc64"/>
    <w:p>
      <w:pPr>
        <w:pStyle w:val="Heading2"/>
      </w:pPr>
      <w:r>
        <w:t xml:space="preserve">Situation Analysis: The Alexandria Context</w:t>
      </w:r>
    </w:p>
    <w:p>
      <w:pPr>
        <w:pStyle w:val="FirstParagraph"/>
      </w:pPr>
      <w:r>
        <w:t xml:space="preserve">Egypt Alexandria faces a critical shortage of specialized healthcare professionals. Current data indicates that less than 15% of children with speech delays receive timely intervention in Northern Egypt, with Alexandria bearing a disproportionate burden due to its dense urban population and lower health infrastructure penetration compared to Cairo. Cultural stigma around developmental disorders persists, often leading families to delay seeking help until communication challenges severely impact education or social integration. Furthermore, economic factors limit access: many households cannot afford private therapy without flexible payment models. Our Speech Therapist service directly addresses these gaps by offering culturally attuned care within Alexandria's distinct neighborhoods—from Montazah and Agami to Hadra and Sidi Gaber—ensuring services are accessible beyond traditional healthcare hubs.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Parents of Children (Ages 2-10) with Speech/Language Delays:</w:t>
      </w:r>
      <w:r>
        <w:t xml:space="preserve"> </w:t>
      </w:r>
      <w:r>
        <w:t xml:space="preserve">Particularly in schools like Al-Azhar and public institutions across Alexandria, where early intervention is often overlooked.</w:t>
      </w:r>
    </w:p>
    <w:p>
      <w:pPr>
        <w:numPr>
          <w:ilvl w:val="0"/>
          <w:numId w:val="1001"/>
        </w:numPr>
        <w:pStyle w:val="Compact"/>
      </w:pPr>
      <w:r>
        <w:rPr>
          <w:bCs/>
          <w:b/>
        </w:rPr>
        <w:t xml:space="preserve">Adults Post-Stroke or with Neurological Conditions:</w:t>
      </w:r>
      <w:r>
        <w:t xml:space="preserve"> </w:t>
      </w:r>
      <w:r>
        <w:t xml:space="preserve">Targeting rehabilitation centers and hospitals (e.g., Alexandria Main Hospital) for referrals.</w:t>
      </w:r>
    </w:p>
    <w:p>
      <w:pPr>
        <w:numPr>
          <w:ilvl w:val="0"/>
          <w:numId w:val="1001"/>
        </w:numPr>
        <w:pStyle w:val="Compact"/>
      </w:pPr>
      <w:r>
        <w:rPr>
          <w:bCs/>
          <w:b/>
        </w:rPr>
        <w:t xml:space="preserve">Elderly Population (65+):</w:t>
      </w:r>
      <w:r>
        <w:t xml:space="preserve"> </w:t>
      </w:r>
      <w:r>
        <w:t xml:space="preserve">Addressing aphasia and dementia-related communication issues prevalent in Alexandria's aging demographic.</w:t>
      </w:r>
    </w:p>
    <w:p>
      <w:pPr>
        <w:pStyle w:val="FirstParagraph"/>
      </w:pPr>
      <w:r>
        <w:t xml:space="preserve">Secondary audiences include pediatricians, ENT specialists, and educators across Egypt Alexandria who can provide professional referrals. We will tailor messaging to resonate with Egyptian family values—emphasizing "family unity," "child’s future success," and "community well-being"—using Arabic-English bilingual materials for clarity.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Attain 70% brand recognition among target parents in Alexandria within 18 months through localized outreach.</w:t>
      </w:r>
    </w:p>
    <w:p>
      <w:pPr>
        <w:numPr>
          <w:ilvl w:val="0"/>
          <w:numId w:val="1002"/>
        </w:numPr>
        <w:pStyle w:val="Compact"/>
      </w:pPr>
      <w:r>
        <w:t xml:space="preserve">Achieve 45 new client acquisitions monthly by Month 6, focusing on pediatric cases (65%) and adult rehabilitation (35%).</w:t>
      </w:r>
    </w:p>
    <w:p>
      <w:pPr>
        <w:numPr>
          <w:ilvl w:val="0"/>
          <w:numId w:val="1002"/>
        </w:numPr>
        <w:pStyle w:val="Compact"/>
      </w:pPr>
      <w:r>
        <w:t xml:space="preserve">Secure partnerships with 12+ schools and clinics in Egypt Alexandria by Year-End.</w:t>
      </w:r>
    </w:p>
    <w:p>
      <w:pPr>
        <w:numPr>
          <w:ilvl w:val="0"/>
          <w:numId w:val="1002"/>
        </w:numPr>
        <w:pStyle w:val="Compact"/>
      </w:pPr>
      <w:r>
        <w:t xml:space="preserve">Build a referral network generating 30% of new clients via healthcare professionals.</w:t>
      </w:r>
    </w:p>
    <w:bookmarkEnd w:id="23"/>
    <w:bookmarkStart w:id="24" w:name="Xe6b9ae03af06a8ab034dbb289837d5bd41245e2"/>
    <w:p>
      <w:pPr>
        <w:pStyle w:val="Heading2"/>
      </w:pPr>
      <w:r>
        <w:t xml:space="preserve">Core Strategies &amp; Tactics for Egypt Alexandria</w:t>
      </w:r>
    </w:p>
    <w:p>
      <w:pPr>
        <w:pStyle w:val="FirstParagraph"/>
      </w:pPr>
      <w:r>
        <w:rPr>
          <w:bCs/>
          <w:b/>
        </w:rPr>
        <w:t xml:space="preserve">1. Hyper-Local Community Engagement:</w:t>
      </w:r>
      <w:r>
        <w:br/>
      </w:r>
      <w:r>
        <w:t xml:space="preserve">Launch "Alexandria Voice Care" community workshops at public venues like the Bibliotheca Alexandrina, local mosques, and community centers in Agami and Montazah. These sessions will demystify speech therapy using Arabic case studies (e.g., "How Ahmed Overcame Stuttering at Al-Merghany School") and feature testimonials from Alexandria parents. Free screenings during Ramadan or Eid will drive sign-ups while respecting cultural rhythms.</w:t>
      </w:r>
    </w:p>
    <w:p>
      <w:pPr>
        <w:pStyle w:val="BodyText"/>
      </w:pPr>
      <w:r>
        <w:rPr>
          <w:bCs/>
          <w:b/>
        </w:rPr>
        <w:t xml:space="preserve">2. Culturally Resonant Digital Marketing:</w:t>
      </w:r>
      <w:r>
        <w:br/>
      </w:r>
      <w:r>
        <w:t xml:space="preserve">Develop a dedicated Arabic-English website optimized for Alexandria searches (e.g., "Speech Therapist Alexandria," "العلاج النطقي الإسكندرية"). Utilize Facebook and Instagram ads targeting parents in Alexandria neighborhoods with keywords like "#إسكندرية_العلاج_الصوتي" and geo-fencing within 10km of major landmarks (e.g., Qaitbay Citadel, Corniche). Content will include short videos of therapists working with local children in authentic Alexandrian settings—avoiding generic stock imagery.</w:t>
      </w:r>
    </w:p>
    <w:p>
      <w:pPr>
        <w:pStyle w:val="BodyText"/>
      </w:pPr>
      <w:r>
        <w:rPr>
          <w:bCs/>
          <w:b/>
        </w:rPr>
        <w:t xml:space="preserve">3. Strategic Partnerships for Credibility:</w:t>
      </w:r>
      <w:r>
        <w:br/>
      </w:r>
      <w:r>
        <w:t xml:space="preserve">Forge formal agreements with key institutions in Egypt Alexandria:</w:t>
      </w:r>
    </w:p>
    <w:p>
      <w:pPr>
        <w:numPr>
          <w:ilvl w:val="0"/>
          <w:numId w:val="1003"/>
        </w:numPr>
        <w:pStyle w:val="Compact"/>
      </w:pPr>
      <w:r>
        <w:t xml:space="preserve">Collaborate with Alexandria University's Faculty of Medicine to offer student internships and joint research on speech disorders in Egyptian populations.</w:t>
      </w:r>
    </w:p>
    <w:p>
      <w:pPr>
        <w:numPr>
          <w:ilvl w:val="0"/>
          <w:numId w:val="1003"/>
        </w:numPr>
        <w:pStyle w:val="Compact"/>
      </w:pPr>
      <w:r>
        <w:t xml:space="preserve">Partner with public schools (e.g., Al-Salam Primary School) for subsidized therapy programs, leveraging the Ministry of Education’s health initiatives.</w:t>
      </w:r>
    </w:p>
    <w:p>
      <w:pPr>
        <w:numPr>
          <w:ilvl w:val="0"/>
          <w:numId w:val="1003"/>
        </w:numPr>
        <w:pStyle w:val="Compact"/>
      </w:pPr>
      <w:r>
        <w:t xml:space="preserve">Team up with pharmacies like "Al-Sharq" across Alexandria for referral cards and health newsletters.</w:t>
      </w:r>
    </w:p>
    <w:p>
      <w:pPr>
        <w:pStyle w:val="FirstParagraph"/>
      </w:pPr>
      <w:r>
        <w:rPr>
          <w:bCs/>
          <w:b/>
        </w:rPr>
        <w:t xml:space="preserve">4. Accessible Pricing &amp; Payment Models:</w:t>
      </w:r>
      <w:r>
        <w:br/>
      </w:r>
      <w:r>
        <w:t xml:space="preserve">Introduce a tiered pricing structure responsive to Alexandria’s economic reality:</w:t>
      </w:r>
    </w:p>
    <w:p>
      <w:pPr>
        <w:numPr>
          <w:ilvl w:val="0"/>
          <w:numId w:val="1004"/>
        </w:numPr>
        <w:pStyle w:val="Compact"/>
      </w:pPr>
      <w:r>
        <w:t xml:space="preserve">Standard sessions (30 mins): EGP 350</w:t>
      </w:r>
    </w:p>
    <w:p>
      <w:pPr>
        <w:numPr>
          <w:ilvl w:val="0"/>
          <w:numId w:val="1004"/>
        </w:numPr>
        <w:pStyle w:val="Compact"/>
      </w:pPr>
      <w:r>
        <w:t xml:space="preserve">Scholarship slots for low-income families (EGP 150/session) through partnerships with NGOs like "Karama" in Alexandria.</w:t>
      </w:r>
    </w:p>
    <w:p>
      <w:pPr>
        <w:numPr>
          <w:ilvl w:val="0"/>
          <w:numId w:val="1004"/>
        </w:numPr>
        <w:pStyle w:val="Compact"/>
      </w:pPr>
      <w:r>
        <w:t xml:space="preserve">Group therapy sessions for cost-sharing among local communities, held at community centers.</w:t>
      </w:r>
    </w:p>
    <w:bookmarkEnd w:id="24"/>
    <w:bookmarkStart w:id="25" w:name="budget-allocation-timeline"/>
    <w:p>
      <w:pPr>
        <w:pStyle w:val="Heading2"/>
      </w:pPr>
      <w:r>
        <w:t xml:space="preserve">Budget Allocation &amp; Timeline</w:t>
      </w:r>
    </w:p>
    <w:p>
      <w:pPr>
        <w:pStyle w:val="FirstParagraph"/>
      </w:pPr>
      <w:r>
        <w:t xml:space="preserve">Initial investment: EGP 450,000 over 12 months.</w:t>
      </w:r>
    </w:p>
    <w:p>
      <w:pPr>
        <w:numPr>
          <w:ilvl w:val="0"/>
          <w:numId w:val="1005"/>
        </w:numPr>
        <w:pStyle w:val="Compact"/>
      </w:pPr>
      <w:r>
        <w:t xml:space="preserve">45% for community outreach (workshops, materials in Arabic/English)</w:t>
      </w:r>
    </w:p>
    <w:p>
      <w:pPr>
        <w:numPr>
          <w:ilvl w:val="0"/>
          <w:numId w:val="1005"/>
        </w:numPr>
        <w:pStyle w:val="Compact"/>
      </w:pPr>
      <w:r>
        <w:t xml:space="preserve">30% for digital campaigns (targeted ads, website development)</w:t>
      </w:r>
    </w:p>
    <w:p>
      <w:pPr>
        <w:numPr>
          <w:ilvl w:val="0"/>
          <w:numId w:val="1005"/>
        </w:numPr>
        <w:pStyle w:val="Compact"/>
      </w:pPr>
      <w:r>
        <w:t xml:space="preserve">15% for partnership development (hospital agreements, school programs)</w:t>
      </w:r>
    </w:p>
    <w:p>
      <w:pPr>
        <w:numPr>
          <w:ilvl w:val="0"/>
          <w:numId w:val="1005"/>
        </w:numPr>
        <w:pStyle w:val="Compact"/>
      </w:pPr>
      <w:r>
        <w:t xml:space="preserve">10% contingency</w:t>
      </w:r>
    </w:p>
    <w:bookmarkEnd w:id="25"/>
    <w:bookmarkStart w:id="26" w:name="evaluation-kpis"/>
    <w:p>
      <w:pPr>
        <w:pStyle w:val="Heading2"/>
      </w:pPr>
      <w:r>
        <w:t xml:space="preserve">Evaluation &amp; KPIs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Client acquisition rate, referral source breakdown, workshop attendance numbers (target: 80+ participants/quarter).</w:t>
      </w:r>
    </w:p>
    <w:p>
      <w:pPr>
        <w:numPr>
          <w:ilvl w:val="0"/>
          <w:numId w:val="1006"/>
        </w:numPr>
        <w:pStyle w:val="Compact"/>
      </w:pPr>
      <w:r>
        <w:rPr>
          <w:bCs/>
          <w:b/>
        </w:rPr>
        <w:t xml:space="preserve">Qualitative:</w:t>
      </w:r>
      <w:r>
        <w:t xml:space="preserve"> </w:t>
      </w:r>
      <w:r>
        <w:t xml:space="preserve">Client satisfaction surveys in Arabic focusing on cultural sensitivity and trust. Monthly focus groups with Alexandria parents to refine messaging.</w:t>
      </w:r>
    </w:p>
    <w:bookmarkEnd w:id="26"/>
    <w:bookmarkStart w:id="27" w:name="Xdd60538cce1898757380dddd3e9feae2d91e3b9"/>
    <w:p>
      <w:pPr>
        <w:pStyle w:val="Heading2"/>
      </w:pPr>
      <w:r>
        <w:t xml:space="preserve">Conclusion: Serving Egypt Alexandria’s Voice</w:t>
      </w:r>
    </w:p>
    <w:p>
      <w:pPr>
        <w:pStyle w:val="FirstParagraph"/>
      </w:pPr>
      <w:r>
        <w:t xml:space="preserve">This Marketing Plan is not merely a business strategy—it is a commitment to transforming communication access across Egypt Alexandria. By embedding our Speech Therapist service within the city’s social and cultural ecosystem, we move beyond transactional care to become an indispensable community partner. We will leverage Alexandria’s identity as Egypt’s "Bride of the Mediterranean" not just in branding, but in action: ensuring every client—whether a child speaking Arabic for the first time or an elderly resident regaining conversation after illness—receives therapy that honors their heritage and aspirations. The success of this initiative will be measured not only in sessions delivered, but in empowered families and thriving Alexandrian communities where no voice goes unheard.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Egypt Alexandria</dc:title>
  <dc:creator/>
  <dc:language>en</dc:language>
  <cp:keywords/>
  <dcterms:created xsi:type="dcterms:W3CDTF">2026-07-23T11:53:47Z</dcterms:created>
  <dcterms:modified xsi:type="dcterms:W3CDTF">2026-07-23T11:53:47Z</dcterms:modified>
</cp:coreProperties>
</file>

<file path=docProps/custom.xml><?xml version="1.0" encoding="utf-8"?>
<Properties xmlns="http://schemas.openxmlformats.org/officeDocument/2006/custom-properties" xmlns:vt="http://schemas.openxmlformats.org/officeDocument/2006/docPropsVTypes"/>
</file>