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Italy</w:t>
      </w:r>
      <w:r>
        <w:t xml:space="preserve"> </w:t>
      </w:r>
      <w:r>
        <w:t xml:space="preserve">Rome</w:t>
      </w:r>
    </w:p>
    <w:bookmarkStart w:id="31" w:name="Xfa14f96e92359bb60255928ac5734347c3f25d3"/>
    <w:p>
      <w:pPr>
        <w:pStyle w:val="Heading1"/>
      </w:pPr>
      <w:r>
        <w:t xml:space="preserve">Comprehensive Marketing Plan for Statistician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an indispensable asset for businesses operating within the dynamic economic landscape of Italy Rome. As data-driven decision-making becomes increasingly critical across sectors from public administration to tourism and technology, our targeted Marketing Plan leverages the unique opportunities presented by Rome's status as Italy's capital and cultural hub. We present a specialized strategy to attract high-value clients seeking advanced statistical solutions, emphasizing local relevance through Rome-centric insights while maintaining international standards of analytical excellence.</w:t>
      </w:r>
    </w:p>
    <w:bookmarkEnd w:id="20"/>
    <w:bookmarkStart w:id="21" w:name="market-analysis-italy-rome-context"/>
    <w:p>
      <w:pPr>
        <w:pStyle w:val="Heading2"/>
      </w:pPr>
      <w:r>
        <w:t xml:space="preserve">Market Analysis: Italy Rome Context</w:t>
      </w:r>
    </w:p>
    <w:p>
      <w:pPr>
        <w:pStyle w:val="FirstParagraph"/>
      </w:pPr>
      <w:r>
        <w:t xml:space="preserve">Rome represents a convergence point for European business, government initiatives, and cultural innovation. As the administrative heart of Italy, it hosts 67% of national public institutions and 34% of Fortune 500 Italian subsidiaries (ISTAT 2023). The city's economic diversity – spanning tourism (19 million annual visitors), pharmaceuticals (15% of EU R&amp;D investment), and digital innovation (Rome Tech Hub) – creates unprecedented demand for statistical expertise. However, a recent study by the Italian National Institute of Statistics reveals that only 28% of Rome-based companies utilize advanced analytics, creating a significant market gap our Marketing Plan targets.</w:t>
      </w:r>
    </w:p>
    <w:p>
      <w:pPr>
        <w:pStyle w:val="BodyText"/>
      </w:pPr>
      <w:r>
        <w:t xml:space="preserve">Crucially, the European Statistical System's evolving regulations (including GDPR compliance) and Italy's National Strategy for Data Science (2023) have intensified demand for certified Statistician professionals. Our plan specifically addresses this need by positioning Rome-based statistical services as the bridge between global data standards and local market nuances – from analyzing Vatican City tourism patterns to optimizing EUR district urban development projects.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Entities:</w:t>
      </w:r>
      <w:r>
        <w:t xml:space="preserve"> </w:t>
      </w:r>
      <w:r>
        <w:t xml:space="preserve">Roma Capitale (Municipality), Ministry of Economy, and regional health authorities requiring census analysis for policy formulation.</w:t>
      </w:r>
    </w:p>
    <w:p>
      <w:pPr>
        <w:numPr>
          <w:ilvl w:val="0"/>
          <w:numId w:val="1001"/>
        </w:numPr>
        <w:pStyle w:val="Compact"/>
      </w:pPr>
      <w:r>
        <w:rPr>
          <w:bCs/>
          <w:b/>
        </w:rPr>
        <w:t xml:space="preserve">Corporate Clients:</w:t>
      </w:r>
      <w:r>
        <w:t xml:space="preserve"> </w:t>
      </w:r>
      <w:r>
        <w:t xml:space="preserve">Tourism conglomerates (e.g., Leonardo Hotels), pharmaceutical firms (e.g., Menarini Ricerche), and fintech startups in Rome's EUR business district seeking market segmentation models.</w:t>
      </w:r>
    </w:p>
    <w:p>
      <w:pPr>
        <w:numPr>
          <w:ilvl w:val="0"/>
          <w:numId w:val="1001"/>
        </w:numPr>
        <w:pStyle w:val="Compact"/>
      </w:pPr>
      <w:r>
        <w:rPr>
          <w:bCs/>
          <w:b/>
        </w:rPr>
        <w:t xml:space="preserve">Academic Institutions:</w:t>
      </w:r>
      <w:r>
        <w:t xml:space="preserve"> </w:t>
      </w:r>
      <w:r>
        <w:t xml:space="preserve">Sapienza University, La Sapienza, and Roma Tre University needing research data analysis support for EU-funded projects.</w:t>
      </w:r>
    </w:p>
    <w:bookmarkEnd w:id="22"/>
    <w:bookmarkStart w:id="23" w:name="Xfc7029f4913140f2ee6d4cc1264607d0b89a152"/>
    <w:p>
      <w:pPr>
        <w:pStyle w:val="Heading2"/>
      </w:pPr>
      <w:r>
        <w:t xml:space="preserve">Unique Value Proposition: The Rome-First Statistician Advantage</w:t>
      </w:r>
    </w:p>
    <w:p>
      <w:pPr>
        <w:pStyle w:val="FirstParagraph"/>
      </w:pPr>
      <w:r>
        <w:t xml:space="preserve">Our core differentiator is the integration of deep local knowledge with statistical mastery. Unlike generic analytics firms, we provide Statistician services embedded in Rome's socio-economic fabric:</w:t>
      </w:r>
    </w:p>
    <w:p>
      <w:pPr>
        <w:numPr>
          <w:ilvl w:val="0"/>
          <w:numId w:val="1002"/>
        </w:numPr>
        <w:pStyle w:val="Compact"/>
      </w:pPr>
      <w:r>
        <w:rPr>
          <w:bCs/>
          <w:b/>
        </w:rPr>
        <w:t xml:space="preserve">Cultural Context Expertise:</w:t>
      </w:r>
      <w:r>
        <w:t xml:space="preserve"> </w:t>
      </w:r>
      <w:r>
        <w:t xml:space="preserve">Understanding how Roman business customs (e.g., relationship-first decision-making) impact data collection and interpretation.</w:t>
      </w:r>
    </w:p>
    <w:p>
      <w:pPr>
        <w:numPr>
          <w:ilvl w:val="0"/>
          <w:numId w:val="1002"/>
        </w:numPr>
        <w:pStyle w:val="Compact"/>
      </w:pPr>
      <w:r>
        <w:rPr>
          <w:bCs/>
          <w:b/>
        </w:rPr>
        <w:t xml:space="preserve">Hyperlocal Data Integration:</w:t>
      </w:r>
      <w:r>
        <w:t xml:space="preserve"> </w:t>
      </w:r>
      <w:r>
        <w:t xml:space="preserve">Combining official ISTAT Rome datasets with on-ground observations (e.g., foot traffic patterns in Trastevere vs. Appian Way).</w:t>
      </w:r>
    </w:p>
    <w:p>
      <w:pPr>
        <w:numPr>
          <w:ilvl w:val="0"/>
          <w:numId w:val="1002"/>
        </w:numPr>
        <w:pStyle w:val="Compact"/>
      </w:pPr>
      <w:r>
        <w:rPr>
          <w:bCs/>
          <w:b/>
        </w:rPr>
        <w:t xml:space="preserve">Regulatory Navigation:</w:t>
      </w:r>
      <w:r>
        <w:t xml:space="preserve"> </w:t>
      </w:r>
      <w:r>
        <w:t xml:space="preserve">Ensuring compliance with both Italian privacy laws (DLGS 196/2003) and EU-wide data governance frameworks specific to Rome's administrative zone.</w:t>
      </w:r>
    </w:p>
    <w:bookmarkEnd w:id="23"/>
    <w:bookmarkStart w:id="27" w:name="marketing-strategies-tactics"/>
    <w:p>
      <w:pPr>
        <w:pStyle w:val="Heading2"/>
      </w:pPr>
      <w:r>
        <w:t xml:space="preserve">Marketing Strategies &amp; Tactics</w:t>
      </w:r>
    </w:p>
    <w:bookmarkStart w:id="24" w:name="digital-presence-with-localized-seo"/>
    <w:p>
      <w:pPr>
        <w:pStyle w:val="Heading3"/>
      </w:pPr>
      <w:r>
        <w:t xml:space="preserve">Digital Presence with Localized SEO</w:t>
      </w:r>
    </w:p>
    <w:p>
      <w:pPr>
        <w:pStyle w:val="FirstParagraph"/>
      </w:pPr>
      <w:r>
        <w:t xml:space="preserve">We optimize all digital channels using Italy Rome-specific keywords: "Statistician services Roma," "data analysis for tourism businesses Italy," and "Rome statistical consultancy." This includes:</w:t>
      </w:r>
    </w:p>
    <w:p>
      <w:pPr>
        <w:numPr>
          <w:ilvl w:val="0"/>
          <w:numId w:val="1003"/>
        </w:numPr>
        <w:pStyle w:val="Compact"/>
      </w:pPr>
      <w:r>
        <w:t xml:space="preserve">Creating a dedicated Italian-language landing page featuring Rome landmarks (Colosseum, Trevi Fountain) as contextual metaphors for data visualization.</w:t>
      </w:r>
    </w:p>
    <w:p>
      <w:pPr>
        <w:numPr>
          <w:ilvl w:val="0"/>
          <w:numId w:val="1003"/>
        </w:numPr>
        <w:pStyle w:val="Compact"/>
      </w:pPr>
      <w:r>
        <w:t xml:space="preserve">Developing case studies analyzing real Rome business challenges: "How Statistical Modeling Boosted Trastevere Restaurant Revenue by 32% in 2023."</w:t>
      </w:r>
    </w:p>
    <w:p>
      <w:pPr>
        <w:numPr>
          <w:ilvl w:val="0"/>
          <w:numId w:val="1003"/>
        </w:numPr>
        <w:pStyle w:val="Compact"/>
      </w:pPr>
      <w:r>
        <w:t xml:space="preserve">Utilizing Google Ads targeting businesses in Rome's three key zones: Centro Storico (historical tourism), EUR (business district), and Ostiense (creative economy).</w:t>
      </w:r>
    </w:p>
    <w:bookmarkEnd w:id="24"/>
    <w:bookmarkStart w:id="25" w:name="rome-centric-networking-ecosystem"/>
    <w:p>
      <w:pPr>
        <w:pStyle w:val="Heading3"/>
      </w:pPr>
      <w:r>
        <w:t xml:space="preserve">Rome-Centric Networking Ecosystem</w:t>
      </w:r>
    </w:p>
    <w:p>
      <w:pPr>
        <w:pStyle w:val="FirstParagraph"/>
      </w:pPr>
      <w:r>
        <w:t xml:space="preserve">We establish physical presence through Rome-specific initiatives:</w:t>
      </w:r>
    </w:p>
    <w:p>
      <w:pPr>
        <w:numPr>
          <w:ilvl w:val="0"/>
          <w:numId w:val="1004"/>
        </w:numPr>
        <w:pStyle w:val="Compact"/>
      </w:pPr>
      <w:r>
        <w:rPr>
          <w:bCs/>
          <w:b/>
        </w:rPr>
        <w:t xml:space="preserve">Monthly "Rome Data Roundtables":</w:t>
      </w:r>
      <w:r>
        <w:t xml:space="preserve"> </w:t>
      </w:r>
      <w:r>
        <w:t xml:space="preserve">Hosted at historic venues (e.g., Palazzo della Civiltà Italiana) featuring Statistician-led workshops on topics like "Analyzing Rome's Post-Pandemic Tourism Recovery."</w:t>
      </w:r>
    </w:p>
    <w:p>
      <w:pPr>
        <w:numPr>
          <w:ilvl w:val="0"/>
          <w:numId w:val="1004"/>
        </w:numPr>
        <w:pStyle w:val="Compact"/>
      </w:pPr>
      <w:r>
        <w:rPr>
          <w:bCs/>
          <w:b/>
        </w:rPr>
        <w:t xml:space="preserve">University Partnerships:</w:t>
      </w:r>
      <w:r>
        <w:t xml:space="preserve"> </w:t>
      </w:r>
      <w:r>
        <w:t xml:space="preserve">Collaborating with Sapienza University's Statistics Department for joint research projects and student internships, embedding our brand within Rome's academic community.</w:t>
      </w:r>
    </w:p>
    <w:p>
      <w:pPr>
        <w:numPr>
          <w:ilvl w:val="0"/>
          <w:numId w:val="1004"/>
        </w:numPr>
        <w:pStyle w:val="Compact"/>
      </w:pPr>
      <w:r>
        <w:rPr>
          <w:bCs/>
          <w:b/>
        </w:rPr>
        <w:t xml:space="preserve">Public Sector Engagement:</w:t>
      </w:r>
      <w:r>
        <w:t xml:space="preserve"> </w:t>
      </w:r>
      <w:r>
        <w:t xml:space="preserve">Offering free statistical consultations to Roma Capitale departments as a trust-building measure before formal contracts.</w:t>
      </w:r>
    </w:p>
    <w:bookmarkEnd w:id="25"/>
    <w:bookmarkStart w:id="26" w:name="cultural-integration-marketing"/>
    <w:p>
      <w:pPr>
        <w:pStyle w:val="Heading3"/>
      </w:pPr>
      <w:r>
        <w:t xml:space="preserve">Cultural Integration Marketing</w:t>
      </w:r>
    </w:p>
    <w:p>
      <w:pPr>
        <w:pStyle w:val="FirstParagraph"/>
      </w:pPr>
      <w:r>
        <w:t xml:space="preserve">We leverage Rome's identity through culturally resonant campaigns:</w:t>
      </w:r>
    </w:p>
    <w:p>
      <w:pPr>
        <w:numPr>
          <w:ilvl w:val="0"/>
          <w:numId w:val="1005"/>
        </w:numPr>
        <w:pStyle w:val="Compact"/>
      </w:pPr>
      <w:r>
        <w:t xml:space="preserve">Creating an infographic series titled "Data Stories of Rome" – visualizing statistical trends using iconic Roman elements (e.g., "The Statistical Life of a Roman Water Fountain: Usage Patterns Over 10 Years").</w:t>
      </w:r>
    </w:p>
    <w:p>
      <w:pPr>
        <w:numPr>
          <w:ilvl w:val="0"/>
          <w:numId w:val="1005"/>
        </w:numPr>
        <w:pStyle w:val="Compact"/>
      </w:pPr>
      <w:r>
        <w:t xml:space="preserve">Partnering with the Rome Tourism Board to analyze visitor data for their official app, generating organic visibility within city operations.</w:t>
      </w:r>
    </w:p>
    <w:p>
      <w:pPr>
        <w:numPr>
          <w:ilvl w:val="0"/>
          <w:numId w:val="1005"/>
        </w:numPr>
        <w:pStyle w:val="Compact"/>
      </w:pPr>
      <w:r>
        <w:t xml:space="preserve">Hosting a "Rome Data Festival" during summer months, featuring free public talks at Piazza Navona on topics like "How Statistics Shape Your Roman Holiday."</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Timeline Phase</w:t>
            </w:r>
          </w:p>
        </w:tc>
      </w:tr>
      <w:tr>
        <w:tc>
          <w:tcPr/>
          <w:p>
            <w:pPr>
              <w:pStyle w:val="Compact"/>
              <w:jc w:val="left"/>
            </w:pPr>
            <w:r>
              <w:t xml:space="preserve">Digital SEO &amp; Content (Rome-targeted)</w:t>
            </w:r>
          </w:p>
        </w:tc>
        <w:tc>
          <w:tcPr/>
          <w:p>
            <w:pPr>
              <w:pStyle w:val="Compact"/>
              <w:jc w:val="left"/>
            </w:pPr>
            <w:r>
              <w:t xml:space="preserve">35%</w:t>
            </w:r>
          </w:p>
        </w:tc>
        <w:tc>
          <w:tcPr/>
          <w:p>
            <w:pPr>
              <w:pStyle w:val="Compact"/>
              <w:jc w:val="left"/>
            </w:pPr>
            <w:r>
              <w:t xml:space="preserve">Ongoing, Month 1-12</w:t>
            </w:r>
          </w:p>
        </w:tc>
      </w:tr>
      <w:tr>
        <w:tc>
          <w:tcPr/>
          <w:p>
            <w:pPr>
              <w:pStyle w:val="Compact"/>
              <w:jc w:val="left"/>
            </w:pPr>
            <w:r>
              <w:t xml:space="preserve">Rome Networking Events</w:t>
            </w:r>
          </w:p>
        </w:tc>
        <w:tc>
          <w:tcPr/>
          <w:p>
            <w:pPr>
              <w:pStyle w:val="Compact"/>
              <w:jc w:val="left"/>
            </w:pPr>
            <w:r>
              <w:t xml:space="preserve">30%</w:t>
            </w:r>
          </w:p>
        </w:tc>
        <w:tc>
          <w:tcPr/>
          <w:p>
            <w:pPr>
              <w:pStyle w:val="Compact"/>
              <w:jc w:val="left"/>
            </w:pPr>
            <w:r>
              <w:t xml:space="preserve">Month 2-6 (Launch Phase)</w:t>
            </w:r>
          </w:p>
        </w:tc>
      </w:tr>
      <w:tr>
        <w:tc>
          <w:tcPr/>
          <w:p>
            <w:pPr>
              <w:pStyle w:val="Compact"/>
              <w:jc w:val="left"/>
            </w:pPr>
            <w:r>
              <w:t xml:space="preserve">Cultural Campaigns &amp; Partnerships</w:t>
            </w:r>
          </w:p>
        </w:tc>
        <w:tc>
          <w:tcPr/>
          <w:p>
            <w:pPr>
              <w:pStyle w:val="Compact"/>
              <w:jc w:val="left"/>
            </w:pPr>
            <w:r>
              <w:t xml:space="preserve">25%</w:t>
            </w:r>
          </w:p>
        </w:tc>
        <w:tc>
          <w:tcPr/>
          <w:p>
            <w:pPr>
              <w:pStyle w:val="Compact"/>
              <w:jc w:val="left"/>
            </w:pPr>
            <w:r>
              <w:t xml:space="preserve">Month 3-9</w:t>
            </w:r>
          </w:p>
        </w:tc>
      </w:tr>
      <w:tr>
        <w:tc>
          <w:tcPr/>
          <w:p>
            <w:pPr>
              <w:pStyle w:val="Compact"/>
              <w:jc w:val="left"/>
            </w:pPr>
            <w:r>
              <w:t xml:space="preserve">KPI Monitoring Tools</w:t>
            </w:r>
          </w:p>
        </w:tc>
        <w:tc>
          <w:tcPr/>
          <w:p>
            <w:pPr>
              <w:pStyle w:val="Compact"/>
              <w:jc w:val="left"/>
            </w:pPr>
            <w:r>
              <w:t xml:space="preserve">10%</w:t>
            </w:r>
          </w:p>
        </w:tc>
        <w:tc>
          <w:tcPr/>
          <w:p>
            <w:pPr>
              <w:pStyle w:val="Compact"/>
              <w:jc w:val="left"/>
            </w:pPr>
            <w:r>
              <w:t xml:space="preserve">Ongoing</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Rome-specific metrics:</w:t>
      </w:r>
    </w:p>
    <w:p>
      <w:pPr>
        <w:numPr>
          <w:ilvl w:val="0"/>
          <w:numId w:val="1006"/>
        </w:numPr>
        <w:pStyle w:val="Compact"/>
      </w:pPr>
      <w:r>
        <w:rPr>
          <w:bCs/>
          <w:b/>
        </w:rPr>
        <w:t xml:space="preserve">Local Client Acquisition:</w:t>
      </w:r>
      <w:r>
        <w:t xml:space="preserve"> </w:t>
      </w:r>
      <w:r>
        <w:t xml:space="preserve">45% of new clients from Rome-based organizations within Year 1 (vs. industry average of 28%).</w:t>
      </w:r>
    </w:p>
    <w:p>
      <w:pPr>
        <w:numPr>
          <w:ilvl w:val="0"/>
          <w:numId w:val="1006"/>
        </w:numPr>
        <w:pStyle w:val="Compact"/>
      </w:pPr>
      <w:r>
        <w:rPr>
          <w:bCs/>
          <w:b/>
        </w:rPr>
        <w:t xml:space="preserve">Regional Market Penetration:</w:t>
      </w:r>
      <w:r>
        <w:t xml:space="preserve"> </w:t>
      </w:r>
      <w:r>
        <w:t xml:space="preserve">Achieving 15% share in the Rome statistical services market by Month 18.</w:t>
      </w:r>
    </w:p>
    <w:p>
      <w:pPr>
        <w:numPr>
          <w:ilvl w:val="0"/>
          <w:numId w:val="1006"/>
        </w:numPr>
        <w:pStyle w:val="Compact"/>
      </w:pPr>
      <w:r>
        <w:rPr>
          <w:bCs/>
          <w:b/>
        </w:rPr>
        <w:t xml:space="preserve">Cultural Relevance Score:</w:t>
      </w:r>
      <w:r>
        <w:t xml:space="preserve"> </w:t>
      </w:r>
      <w:r>
        <w:t xml:space="preserve">Minimum 4.2/5 average rating from clients on "Understanding of Rome Business Environment" in post-project surveys.</w:t>
      </w:r>
    </w:p>
    <w:bookmarkEnd w:id="29"/>
    <w:bookmarkStart w:id="30" w:name="Xd745abd064954febea030827d6db1eaa3846f3a"/>
    <w:p>
      <w:pPr>
        <w:pStyle w:val="Heading2"/>
      </w:pPr>
      <w:r>
        <w:t xml:space="preserve">Conclusion: The Statistician as Rome's Data Architect</w:t>
      </w:r>
    </w:p>
    <w:p>
      <w:pPr>
        <w:pStyle w:val="FirstParagraph"/>
      </w:pPr>
      <w:r>
        <w:t xml:space="preserve">This Marketing Plan positions the Statistician not merely as a service provider, but as a strategic partner uniquely equipped to navigate Italy's largest city. By anchoring our approach in Rome's identity – from leveraging its historical significance to addressing contemporary challenges like sustainable tourism and urban planning – we transform statistical expertise into an essential element of Rome's economic evolution. The success of this Marketing Plan hinges on making every campaign, client interaction, and service delivery embody the deep connection between data mastery and Rome's unique character.</w:t>
      </w:r>
    </w:p>
    <w:p>
      <w:pPr>
        <w:pStyle w:val="BodyText"/>
      </w:pPr>
      <w:r>
        <w:t xml:space="preserve">In Italy Rome, where tradition meets innovation daily, our Statistician services become the invisible engine powering data-driven decisions. This plan delivers measurable results by speaking directly to Rome's business ecosystem – ensuring that when companies seek statistical insights, they turn first to a partner who understands both the numbers and the city that breathes between them. As Rome continues its journey as Europe's cultural and administrative epicenter, this Marketing Plan secures our Statistician services at the forefront of its data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Italy Rome</dc:title>
  <dc:creator/>
  <dc:language>en</dc:language>
  <cp:keywords/>
  <dcterms:created xsi:type="dcterms:W3CDTF">2025-12-15T18:20:55Z</dcterms:created>
  <dcterms:modified xsi:type="dcterms:W3CDTF">2025-12-15T18:20:55Z</dcterms:modified>
</cp:coreProperties>
</file>

<file path=docProps/custom.xml><?xml version="1.0" encoding="utf-8"?>
<Properties xmlns="http://schemas.openxmlformats.org/officeDocument/2006/custom-properties" xmlns:vt="http://schemas.openxmlformats.org/officeDocument/2006/docPropsVTypes"/>
</file>