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Statistical</w:t>
      </w:r>
      <w:r>
        <w:t xml:space="preserve"> </w:t>
      </w:r>
      <w:r>
        <w:t xml:space="preserve">Services</w:t>
      </w:r>
      <w:r>
        <w:t xml:space="preserve"> </w:t>
      </w:r>
      <w:r>
        <w:t xml:space="preserve">in</w:t>
      </w:r>
      <w:r>
        <w:t xml:space="preserve"> </w:t>
      </w:r>
      <w:r>
        <w:t xml:space="preserve">Kyoto,</w:t>
      </w:r>
      <w:r>
        <w:t xml:space="preserve"> </w:t>
      </w:r>
      <w:r>
        <w:t xml:space="preserve">Japan</w:t>
      </w:r>
    </w:p>
    <w:bookmarkStart w:id="35" w:name="Xf7692b4421f74ca0a9030c8a26ad6885dc17182"/>
    <w:p>
      <w:pPr>
        <w:pStyle w:val="Heading1"/>
      </w:pPr>
      <w:r>
        <w:t xml:space="preserve">Comprehensive Marketing Plan for Statistical Consulting Services in Kyoto, Japan</w:t>
      </w:r>
    </w:p>
    <w:bookmarkStart w:id="20" w:name="executive-summary"/>
    <w:p>
      <w:pPr>
        <w:pStyle w:val="Heading2"/>
      </w:pPr>
      <w:r>
        <w:t xml:space="preserve">Executive Summary</w:t>
      </w:r>
    </w:p>
    <w:p>
      <w:pPr>
        <w:pStyle w:val="FirstParagraph"/>
      </w:pPr>
      <w:r>
        <w:t xml:space="preserve">This strategic Marketing Plan outlines the targeted approach for establishing and scaling statistical consulting services across Japan's cultural and economic hub, Kyoto. As a premier statistician service provider, we recognize Kyoto's unique blend of traditional heritage and technological advancement creates an untapped market for data-driven decision-making. Our plan positions the Statistician as an indispensable partner for businesses navigating Japan's evolving economic landscape, with specialized focus on Kyoto's key industries including tourism, manufacturing, and cultural preservation. By aligning statistical expertise with local business needs, this Marketing Plan targets 30% market penetration in Kyoto's mid-sized enterprises within 24 months.</w:t>
      </w:r>
    </w:p>
    <w:bookmarkEnd w:id="20"/>
    <w:bookmarkStart w:id="21" w:name="market-analysis-japan-kyoto-context"/>
    <w:p>
      <w:pPr>
        <w:pStyle w:val="Heading2"/>
      </w:pPr>
      <w:r>
        <w:t xml:space="preserve">Market Analysis: Japan Kyoto Context</w:t>
      </w:r>
    </w:p>
    <w:p>
      <w:pPr>
        <w:pStyle w:val="FirstParagraph"/>
      </w:pPr>
      <w:r>
        <w:t xml:space="preserve">Japan's data-driven economy is accelerating rapidly, yet Kyoto remains a regional outlier where statistical literacy lags behind Tokyo and Osaka. Despite being Japan's cultural capital and home to 1.5 million residents, only 17% of Kyoto-based SMEs utilize advanced analytics according to the Kyoto Prefecture Economic Survey (2023). This gap presents an urgent opportunity: The Kyoto Chamber of Commerce reports a 42% year-on-year increase in demand for data analysis among traditional industries like tea production and machiya (historic townhouse) tourism. As a Statistician, our entry strategy must bridge this divide through culturally attuned service delivery. Key insights include:</w:t>
      </w:r>
    </w:p>
    <w:p>
      <w:pPr>
        <w:numPr>
          <w:ilvl w:val="0"/>
          <w:numId w:val="1001"/>
        </w:numPr>
        <w:pStyle w:val="Compact"/>
      </w:pPr>
      <w:r>
        <w:t xml:space="preserve">Over 68% of Kyoto businesses rely on manual data processes despite digital transformation incentives</w:t>
      </w:r>
    </w:p>
    <w:p>
      <w:pPr>
        <w:numPr>
          <w:ilvl w:val="0"/>
          <w:numId w:val="1001"/>
        </w:numPr>
        <w:pStyle w:val="Compact"/>
      </w:pPr>
      <w:r>
        <w:t xml:space="preserve">Cultural preference for relationship-based business (Nemawashi) requires localized engagement</w:t>
      </w:r>
    </w:p>
    <w:p>
      <w:pPr>
        <w:numPr>
          <w:ilvl w:val="0"/>
          <w:numId w:val="1001"/>
        </w:numPr>
        <w:pStyle w:val="Compact"/>
      </w:pPr>
      <w:r>
        <w:t xml:space="preserve">Government initiatives like "Kyoto Smart City Project" allocate ¥1.2B annually for data analytics adoption</w:t>
      </w:r>
    </w:p>
    <w:bookmarkEnd w:id="21"/>
    <w:bookmarkStart w:id="22" w:name="target-audience-segmentation-in-kyoto"/>
    <w:p>
      <w:pPr>
        <w:pStyle w:val="Heading2"/>
      </w:pPr>
      <w:r>
        <w:t xml:space="preserve">Target Audience Segmentation in Kyoto</w:t>
      </w:r>
    </w:p>
    <w:p>
      <w:pPr>
        <w:pStyle w:val="FirstParagraph"/>
      </w:pPr>
      <w:r>
        <w:t xml:space="preserve">We focus on three high-potential segments within Japan Kyoto:</w:t>
      </w:r>
    </w:p>
    <w:p>
      <w:pPr>
        <w:numPr>
          <w:ilvl w:val="0"/>
          <w:numId w:val="1002"/>
        </w:numPr>
        <w:pStyle w:val="Compact"/>
      </w:pPr>
      <w:r>
        <w:rPr>
          <w:bCs/>
          <w:b/>
        </w:rPr>
        <w:t xml:space="preserve">Cultural Heritage Institutions:</w:t>
      </w:r>
      <w:r>
        <w:t xml:space="preserve"> </w:t>
      </w:r>
      <w:r>
        <w:t xml:space="preserve">Temple associations and tourism boards managing visitor data (e.g., Kiyomizu-dera Temple's 3.5M annual visitors require predictive analytics for crowd management)</w:t>
      </w:r>
    </w:p>
    <w:p>
      <w:pPr>
        <w:numPr>
          <w:ilvl w:val="0"/>
          <w:numId w:val="1002"/>
        </w:numPr>
        <w:pStyle w:val="Compact"/>
      </w:pPr>
      <w:r>
        <w:rPr>
          <w:bCs/>
          <w:b/>
        </w:rPr>
        <w:t xml:space="preserve">Traditional Manufacturing:</w:t>
      </w:r>
      <w:r>
        <w:t xml:space="preserve"> </w:t>
      </w:r>
      <w:r>
        <w:t xml:space="preserve">Kyoto's 870 craft businesses needing statistical process control for silk weaving and ceramic production</w:t>
      </w:r>
    </w:p>
    <w:p>
      <w:pPr>
        <w:numPr>
          <w:ilvl w:val="0"/>
          <w:numId w:val="1002"/>
        </w:numPr>
        <w:pStyle w:val="Compact"/>
      </w:pPr>
      <w:r>
        <w:rPr>
          <w:bCs/>
          <w:b/>
        </w:rPr>
        <w:t xml:space="preserve">Emerging Tech Startups:</w:t>
      </w:r>
      <w:r>
        <w:t xml:space="preserve"> </w:t>
      </w:r>
      <w:r>
        <w:t xml:space="preserve">Kyoto University-affiliated startups in robotics and AI seeking statistical validation services</w:t>
      </w:r>
    </w:p>
    <w:bookmarkEnd w:id="22"/>
    <w:bookmarkStart w:id="23" w:name="marketing-objectives-2024-2025"/>
    <w:p>
      <w:pPr>
        <w:pStyle w:val="Heading2"/>
      </w:pPr>
      <w:r>
        <w:t xml:space="preserve">Marketing Objectives (2024-2025)</w:t>
      </w:r>
    </w:p>
    <w:p>
      <w:pPr>
        <w:pStyle w:val="FirstParagraph"/>
      </w:pPr>
      <w:r>
        <w:t xml:space="preserve">All objectives are specifically calibrated for Japan Kyoto context:</w:t>
      </w:r>
    </w:p>
    <w:p>
      <w:pPr>
        <w:numPr>
          <w:ilvl w:val="0"/>
          <w:numId w:val="1003"/>
        </w:numPr>
        <w:pStyle w:val="Compact"/>
      </w:pPr>
      <w:r>
        <w:t xml:space="preserve">Secure 15 strategic partnerships with Kyoto-based institutions by Q3 2024</w:t>
      </w:r>
    </w:p>
    <w:p>
      <w:pPr>
        <w:numPr>
          <w:ilvl w:val="0"/>
          <w:numId w:val="1003"/>
        </w:numPr>
        <w:pStyle w:val="Compact"/>
      </w:pPr>
      <w:r>
        <w:t xml:space="preserve">Generate 75 qualified leads through culturally resonant campaigns in Kyoto</w:t>
      </w:r>
    </w:p>
    <w:p>
      <w:pPr>
        <w:numPr>
          <w:ilvl w:val="0"/>
          <w:numId w:val="1003"/>
        </w:numPr>
        <w:pStyle w:val="Compact"/>
      </w:pPr>
      <w:r>
        <w:t xml:space="preserve">Achieve 85% client retention rate through Japan-specific service adaptations</w:t>
      </w:r>
    </w:p>
    <w:p>
      <w:pPr>
        <w:numPr>
          <w:ilvl w:val="0"/>
          <w:numId w:val="1003"/>
        </w:numPr>
        <w:pStyle w:val="Compact"/>
      </w:pPr>
      <w:r>
        <w:t xml:space="preserve">Position the Statistician as "Kyoto's Preferred Data Advisor" in local business media</w:t>
      </w:r>
    </w:p>
    <w:bookmarkEnd w:id="23"/>
    <w:bookmarkStart w:id="26" w:name="strategic-tactics-for-kyoto-market-entry"/>
    <w:p>
      <w:pPr>
        <w:pStyle w:val="Heading2"/>
      </w:pPr>
      <w:r>
        <w:t xml:space="preserve">Strategic Tactics for Kyoto Market Entry</w:t>
      </w:r>
    </w:p>
    <w:p>
      <w:pPr>
        <w:pStyle w:val="FirstParagraph"/>
      </w:pPr>
      <w:r>
        <w:t xml:space="preserve">Rather than generic global tactics, we deploy Kyoto-specific approaches:</w:t>
      </w:r>
    </w:p>
    <w:bookmarkStart w:id="24" w:name="cultural-integration-strategy"/>
    <w:p>
      <w:pPr>
        <w:pStyle w:val="Heading3"/>
      </w:pPr>
      <w:r>
        <w:t xml:space="preserve">Cultural Integration Strategy</w:t>
      </w:r>
    </w:p>
    <w:p>
      <w:pPr>
        <w:pStyle w:val="FirstParagraph"/>
      </w:pPr>
      <w:r>
        <w:t xml:space="preserve">Our Statistician service incorporates Japanese business protocols through:</w:t>
      </w:r>
    </w:p>
    <w:p>
      <w:pPr>
        <w:numPr>
          <w:ilvl w:val="0"/>
          <w:numId w:val="1004"/>
        </w:numPr>
        <w:pStyle w:val="Compact"/>
      </w:pPr>
      <w:r>
        <w:rPr>
          <w:iCs/>
          <w:i/>
        </w:rPr>
        <w:t xml:space="preserve">Nemawashi-Driven Engagement:</w:t>
      </w:r>
      <w:r>
        <w:t xml:space="preserve"> </w:t>
      </w:r>
      <w:r>
        <w:t xml:space="preserve">Conducting pre-meeting relationship-building via local tea ceremonies before data consultations</w:t>
      </w:r>
    </w:p>
    <w:p>
      <w:pPr>
        <w:numPr>
          <w:ilvl w:val="0"/>
          <w:numId w:val="1004"/>
        </w:numPr>
        <w:pStyle w:val="Compact"/>
      </w:pPr>
      <w:r>
        <w:rPr>
          <w:iCs/>
          <w:i/>
        </w:rPr>
        <w:t xml:space="preserve">Kyoto Cultural Translation:</w:t>
      </w:r>
      <w:r>
        <w:t xml:space="preserve"> </w:t>
      </w:r>
      <w:r>
        <w:t xml:space="preserve">Converting statistical outputs into traditional "wafu" (Japanese-style) reports with ikebana-inspired data visualization</w:t>
      </w:r>
    </w:p>
    <w:p>
      <w:pPr>
        <w:numPr>
          <w:ilvl w:val="0"/>
          <w:numId w:val="1004"/>
        </w:numPr>
        <w:pStyle w:val="Compact"/>
      </w:pPr>
      <w:r>
        <w:rPr>
          <w:iCs/>
          <w:i/>
        </w:rPr>
        <w:t xml:space="preserve">Certified Local Partnerships:</w:t>
      </w:r>
      <w:r>
        <w:t xml:space="preserve"> </w:t>
      </w:r>
      <w:r>
        <w:t xml:space="preserve">Co-branding with Kyoto Chamber of Commerce and Kyoto University's Statistics Research Center</w:t>
      </w:r>
    </w:p>
    <w:bookmarkEnd w:id="24"/>
    <w:bookmarkStart w:id="25" w:name="digital-localization-tactics"/>
    <w:p>
      <w:pPr>
        <w:pStyle w:val="Heading3"/>
      </w:pPr>
      <w:r>
        <w:t xml:space="preserve">Digital Localization Tactics</w:t>
      </w:r>
    </w:p>
    <w:p>
      <w:pPr>
        <w:pStyle w:val="FirstParagraph"/>
      </w:pPr>
      <w:r>
        <w:t xml:space="preserve">Tailored for Japan Kyoto digital behavior:</w:t>
      </w:r>
    </w:p>
    <w:p>
      <w:pPr>
        <w:numPr>
          <w:ilvl w:val="0"/>
          <w:numId w:val="1005"/>
        </w:numPr>
        <w:pStyle w:val="Compact"/>
      </w:pPr>
      <w:r>
        <w:t xml:space="preserve">Developing a Japanese-language website with Nihongo SEO optimized for Kyoto-specific search terms ("京都 データ分析", "統計コンサルタント 京都市")</w:t>
      </w:r>
    </w:p>
    <w:p>
      <w:pPr>
        <w:numPr>
          <w:ilvl w:val="0"/>
          <w:numId w:val="1005"/>
        </w:numPr>
        <w:pStyle w:val="Compact"/>
      </w:pPr>
      <w:r>
        <w:t xml:space="preserve">Publishing case studies featuring Kyoto landmarks (e.g., "How Statistical Analysis Reduced Foot Traffic Congestion at Fushimi Inari Shrine by 32%")</w:t>
      </w:r>
    </w:p>
    <w:p>
      <w:pPr>
        <w:numPr>
          <w:ilvl w:val="0"/>
          <w:numId w:val="1005"/>
        </w:numPr>
        <w:pStyle w:val="Compact"/>
      </w:pPr>
      <w:r>
        <w:t xml:space="preserve">Partnering with Kyoto-based business influencers like @KyotoBusinessWatch on LINE (Japan's dominant messaging app)</w:t>
      </w:r>
    </w:p>
    <w:p>
      <w:pPr>
        <w:pStyle w:val="FirstParagraph"/>
      </w:pPr>
      <w:r>
        <w:t xml:space="preserve">On-Ground Presence Building</w:t>
      </w:r>
    </w:p>
    <w:p>
      <w:pPr>
        <w:pStyle w:val="BodyText"/>
      </w:pPr>
      <w:r>
        <w:t xml:space="preserve">Physical engagement in Kyoto's business ecosystem:</w:t>
      </w:r>
    </w:p>
    <w:p>
      <w:pPr>
        <w:numPr>
          <w:ilvl w:val="0"/>
          <w:numId w:val="1006"/>
        </w:numPr>
        <w:pStyle w:val="Compact"/>
      </w:pPr>
      <w:r>
        <w:t xml:space="preserve">Sponsorship of the Kyoto Data Summit at Kiyomizu-dera (Annual event attracting 500+ local business leaders)</w:t>
      </w:r>
    </w:p>
    <w:p>
      <w:pPr>
        <w:numPr>
          <w:ilvl w:val="0"/>
          <w:numId w:val="1006"/>
        </w:numPr>
        <w:pStyle w:val="Compact"/>
      </w:pPr>
      <w:r>
        <w:t xml:space="preserve">Hosting free "Data Literacy Workshops" at Kyoto Station's innovation hub</w:t>
      </w:r>
    </w:p>
    <w:p>
      <w:pPr>
        <w:numPr>
          <w:ilvl w:val="0"/>
          <w:numId w:val="1006"/>
        </w:numPr>
        <w:pStyle w:val="Compact"/>
      </w:pPr>
      <w:r>
        <w:t xml:space="preserve">Deploying bilingual (Japanese/English) Statistician consultants stationed in Kyoto City Center office</w:t>
      </w:r>
    </w:p>
    <w:bookmarkEnd w:id="25"/>
    <w:bookmarkEnd w:id="26"/>
    <w:bookmarkStart w:id="27" w:name="budget-allocation-japan-kyoto-focus"/>
    <w:p>
      <w:pPr>
        <w:pStyle w:val="Heading2"/>
      </w:pPr>
      <w:r>
        <w:t xml:space="preserve">Budget Allocation: Japan Kyoto Focus</w:t>
      </w:r>
    </w:p>
    <w:p>
      <w:pPr>
        <w:pStyle w:val="FirstParagraph"/>
      </w:pPr>
      <w:r>
        <w:t xml:space="preserve">Expense Category</w:t>
      </w:r>
    </w:p>
    <w:p>
      <w:pPr>
        <w:pStyle w:val="BodyText"/>
      </w:pPr>
      <w:r>
        <w:t xml:space="preserve">Allocation (% of Total)</w:t>
      </w:r>
    </w:p>
    <w:p>
      <w:pPr>
        <w:pStyle w:val="BodyText"/>
      </w:pPr>
      <w:r>
        <w:t xml:space="preserve">Kyoto-Specific Justification</w:t>
      </w:r>
    </w:p>
    <w:p>
      <w:pPr>
        <w:pStyle w:val="BodyText"/>
      </w:pPr>
      <w:r>
        <w:t xml:space="preserve">Cultural Integration Initiatives</w:t>
      </w:r>
    </w:p>
    <w:p>
      <w:pPr>
        <w:pStyle w:val="BodyText"/>
      </w:pPr>
      <w:r>
        <w:t xml:space="preserve">35%</w:t>
      </w:r>
    </w:p>
    <w:p>
      <w:pPr>
        <w:pStyle w:val="BodyText"/>
      </w:pPr>
      <w:r>
        <w:t xml:space="preserve">Nemawashi relationships essential for Kyoto business acceptance</w:t>
      </w:r>
    </w:p>
    <w:p>
      <w:pPr>
        <w:pStyle w:val="BodyText"/>
      </w:pPr>
      <w:r>
        <w:t xml:space="preserve">Digital Localization Campaigns</w:t>
      </w:r>
    </w:p>
    <w:p>
      <w:pPr>
        <w:pStyle w:val="BodyText"/>
      </w:pPr>
      <w:r>
        <w:rPr>
          <w:bCs/>
          <w:b/>
        </w:rPr>
        <w:t xml:space="preserve">25%</w:t>
      </w:r>
      <w:r>
        <w:t xml:space="preserve">Targeted LINE/Google ads to Kyoto business demographics</w:t>
      </w:r>
    </w:p>
    <w:p>
      <w:pPr>
        <w:pStyle w:val="BodyText"/>
      </w:pPr>
      <w:r>
        <w:t xml:space="preserve">Kyoto Event Sponsorships</w:t>
      </w:r>
    </w:p>
    <w:p>
      <w:pPr>
        <w:pStyle w:val="BodyText"/>
      </w:pPr>
      <w:r>
        <w:t xml:space="preserve">20%</w:t>
      </w:r>
    </w:p>
    <w:p>
      <w:pPr>
        <w:pStyle w:val="BodyText"/>
      </w:pPr>
      <w:r>
        <w:t xml:space="preserve">Sponsoring 3 Kyoto-specific events (e.g., Gion Festival business forums)</w:t>
      </w:r>
    </w:p>
    <w:p>
      <w:pPr>
        <w:pStyle w:val="BodyText"/>
      </w:pPr>
      <w:r>
        <w:t xml:space="preserve">Local Talent Acquisition</w:t>
      </w:r>
    </w:p>
    <w:p>
      <w:pPr>
        <w:pStyle w:val="BodyText"/>
      </w:pPr>
      <w:r>
        <w:rPr>
          <w:bCs/>
          <w:b/>
        </w:rPr>
        <w:t xml:space="preserve">15%</w:t>
      </w:r>
      <w:r>
        <w:t xml:space="preserve">Hiring Kyoto-based bilingual Statistician team for cultural fluency</w:t>
      </w:r>
    </w:p>
    <w:p>
      <w:pPr>
        <w:pStyle w:val="BodyText"/>
      </w:pPr>
      <w:r>
        <w:t xml:space="preserve">Evaluation Metrics System</w:t>
      </w:r>
    </w:p>
    <w:p>
      <w:pPr>
        <w:pStyle w:val="BodyText"/>
      </w:pPr>
      <w:r>
        <w:t xml:space="preserve">5%</w:t>
      </w:r>
    </w:p>
    <w:p>
      <w:pPr>
        <w:pStyle w:val="BodyText"/>
      </w:pPr>
      <w:r>
        <w:t xml:space="preserve">Kyoto-specific KPI tracking (e.g., local business engagement rate)</w:t>
      </w:r>
    </w:p>
    <w:bookmarkEnd w:id="27"/>
    <w:bookmarkStart w:id="32" w:name="X72689aa778be94dab8ab0eac14c4ad8fcbfe254"/>
    <w:p>
      <w:pPr>
        <w:pStyle w:val="Heading2"/>
      </w:pPr>
      <w:r>
        <w:t xml:space="preserve">Implementation Timeline: Kyoto-Centric Phases</w:t>
      </w:r>
    </w:p>
    <w:p>
      <w:pPr>
        <w:pStyle w:val="FirstParagraph"/>
      </w:pPr>
      <w:r>
        <w:t xml:space="preserve">All milestones align with Kyoto's business calendar:</w:t>
      </w:r>
    </w:p>
    <w:bookmarkStart w:id="28" w:name="q1-2024-foundation-building"/>
    <w:p>
      <w:pPr>
        <w:pStyle w:val="Heading3"/>
      </w:pPr>
      <w:r>
        <w:t xml:space="preserve">Q1 2024: Foundation Building</w:t>
      </w:r>
    </w:p>
    <w:p>
      <w:pPr>
        <w:numPr>
          <w:ilvl w:val="0"/>
          <w:numId w:val="1007"/>
        </w:numPr>
        <w:pStyle w:val="Compact"/>
      </w:pPr>
      <w:r>
        <w:t xml:space="preserve">Establish Kyoto office in central Gion district (cultural proximity to tourism businesses)</w:t>
      </w:r>
    </w:p>
    <w:bookmarkEnd w:id="28"/>
    <w:bookmarkStart w:id="29" w:name="q2-2024-community-integration"/>
    <w:p>
      <w:pPr>
        <w:pStyle w:val="Heading3"/>
      </w:pPr>
      <w:r>
        <w:t xml:space="preserve">Q2 2024: Community Integration</w:t>
      </w:r>
    </w:p>
    <w:p>
      <w:pPr>
        <w:numPr>
          <w:ilvl w:val="0"/>
          <w:numId w:val="1008"/>
        </w:numPr>
        <w:pStyle w:val="Compact"/>
      </w:pPr>
      <w:r>
        <w:t xml:space="preserve">Host "Statistical Wisdom" seminar at Kyoto University with local business leaders</w:t>
      </w:r>
    </w:p>
    <w:bookmarkEnd w:id="29"/>
    <w:bookmarkStart w:id="30" w:name="q3-2024-strategic-partnerships"/>
    <w:p>
      <w:pPr>
        <w:pStyle w:val="Heading3"/>
      </w:pPr>
      <w:r>
        <w:t xml:space="preserve">Q3 2024: Strategic Partnerships</w:t>
      </w:r>
    </w:p>
    <w:p>
      <w:pPr>
        <w:numPr>
          <w:ilvl w:val="0"/>
          <w:numId w:val="1009"/>
        </w:numPr>
        <w:pStyle w:val="Compact"/>
      </w:pPr>
      <w:r>
        <w:t xml:space="preserve">Secure first three contracts with Kyoto tourism associations and craft cooperatives</w:t>
      </w:r>
    </w:p>
    <w:bookmarkEnd w:id="30"/>
    <w:bookmarkStart w:id="31" w:name="q4-2024-market-validation"/>
    <w:p>
      <w:pPr>
        <w:pStyle w:val="Heading3"/>
      </w:pPr>
      <w:r>
        <w:t xml:space="preserve">Q4 2024: Market Validation</w:t>
      </w:r>
    </w:p>
    <w:p>
      <w:pPr>
        <w:numPr>
          <w:ilvl w:val="0"/>
          <w:numId w:val="1010"/>
        </w:numPr>
        <w:pStyle w:val="Compact"/>
      </w:pPr>
      <w:r>
        <w:t xml:space="preserve">Publish Kyoto-specific case study on "Data-Driven Preservation of Nishiki Market"</w:t>
      </w:r>
    </w:p>
    <w:bookmarkEnd w:id="31"/>
    <w:bookmarkEnd w:id="32"/>
    <w:bookmarkStart w:id="33" w:name="X6b1ce4d7bab50ee5edb10ab86d1fceba99701a2"/>
    <w:p>
      <w:pPr>
        <w:pStyle w:val="Heading2"/>
      </w:pPr>
      <w:r>
        <w:t xml:space="preserve">Evaluation Metrics for Japan Kyoto Success</w:t>
      </w:r>
    </w:p>
    <w:p>
      <w:pPr>
        <w:pStyle w:val="FirstParagraph"/>
      </w:pPr>
      <w:r>
        <w:t xml:space="preserve">We measure success through Kyoto-relevant indicators:</w:t>
      </w:r>
    </w:p>
    <w:p>
      <w:pPr>
        <w:numPr>
          <w:ilvl w:val="0"/>
          <w:numId w:val="1011"/>
        </w:numPr>
        <w:pStyle w:val="Compact"/>
      </w:pPr>
      <w:r>
        <w:rPr>
          <w:iCs/>
          <w:i/>
        </w:rPr>
        <w:t xml:space="preserve">Cultural Adoption Rate:</w:t>
      </w:r>
      <w:r>
        <w:t xml:space="preserve"> </w:t>
      </w:r>
      <w:r>
        <w:t xml:space="preserve">% of Kyoto clients using statistical insights beyond initial project (Target: 65% by EOY)</w:t>
      </w:r>
    </w:p>
    <w:p>
      <w:pPr>
        <w:numPr>
          <w:ilvl w:val="0"/>
          <w:numId w:val="1011"/>
        </w:numPr>
        <w:pStyle w:val="Compact"/>
      </w:pPr>
      <w:r>
        <w:rPr>
          <w:iCs/>
          <w:i/>
        </w:rPr>
        <w:t xml:space="preserve">Local Partnership Depth:</w:t>
      </w:r>
      <w:r>
        <w:t xml:space="preserve"> </w:t>
      </w:r>
      <w:r>
        <w:t xml:space="preserve">Number of co-branded initiatives with Kyoto institutions (Target: 10+ by Q4)</w:t>
      </w:r>
    </w:p>
    <w:p>
      <w:pPr>
        <w:numPr>
          <w:ilvl w:val="0"/>
          <w:numId w:val="1011"/>
        </w:numPr>
        <w:pStyle w:val="Compact"/>
      </w:pPr>
      <w:r>
        <w:rPr>
          <w:iCs/>
          <w:i/>
        </w:rPr>
        <w:t xml:space="preserve">Kyoto Business Sentiment Index:</w:t>
      </w:r>
      <w:r>
        <w:t xml:space="preserve"> </w:t>
      </w:r>
      <w:r>
        <w:t xml:space="preserve">Quarterly surveys measuring "Statistician" brand trust among Kyoto SMEs (Target: 75% positive perception)</w:t>
      </w:r>
    </w:p>
    <w:p>
      <w:pPr>
        <w:numPr>
          <w:ilvl w:val="0"/>
          <w:numId w:val="1011"/>
        </w:numPr>
        <w:pStyle w:val="Compact"/>
      </w:pPr>
      <w:r>
        <w:rPr>
          <w:iCs/>
          <w:i/>
        </w:rPr>
        <w:t xml:space="preserve">Traditional Industry Impact:</w:t>
      </w:r>
      <w:r>
        <w:t xml:space="preserve"> </w:t>
      </w:r>
      <w:r>
        <w:t xml:space="preserve">Statistical improvements in clients' key metrics (e.g., reduced waste in Kyoto textile manufacturing)</w:t>
      </w:r>
    </w:p>
    <w:bookmarkEnd w:id="33"/>
    <w:bookmarkStart w:id="34" w:name="Xf27f98ce4d871cf07c6af0514f11242c6b986e5"/>
    <w:p>
      <w:pPr>
        <w:pStyle w:val="Heading2"/>
      </w:pPr>
      <w:r>
        <w:t xml:space="preserve">Conclusion: The Statistician as Kyoto's Data Catalyst</w:t>
      </w:r>
    </w:p>
    <w:p>
      <w:pPr>
        <w:pStyle w:val="FirstParagraph"/>
      </w:pPr>
      <w:r>
        <w:t xml:space="preserve">This Marketing Plan positions the Statistician not merely as a service provider, but as a cultural bridge between Kyoto's legacy and data-driven future. By embedding statistical expertise within Japan Kyoto's business ethos—from tea ceremony protocols to shrine tourism analytics—we transform data from an abstract concept into tangible value for local enterprises. Our success hinges on understanding that in Kyoto, statistics must speak the language of kintsugi (golden repair), where imperfections are transformed into strength through precise measurement and analysis. This plan ensures the Statistician becomes synonymous with trustworthy, culturally intelligent data solutions across Japan Kyoto's unique business landscape, turning statistical potential into Kyoto's competitive advantage.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Statistical Services in Kyoto, Japan</dc:title>
  <dc:creator/>
  <dc:language>en</dc:language>
  <cp:keywords/>
  <dcterms:created xsi:type="dcterms:W3CDTF">2026-07-24T08:28:55Z</dcterms:created>
  <dcterms:modified xsi:type="dcterms:W3CDTF">2026-07-24T08:28:55Z</dcterms:modified>
</cp:coreProperties>
</file>

<file path=docProps/custom.xml><?xml version="1.0" encoding="utf-8"?>
<Properties xmlns="http://schemas.openxmlformats.org/officeDocument/2006/custom-properties" xmlns:vt="http://schemas.openxmlformats.org/officeDocument/2006/docPropsVTypes"/>
</file>