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Consulting</w:t>
      </w:r>
      <w:r>
        <w:t xml:space="preserve"> </w:t>
      </w:r>
      <w:r>
        <w:t xml:space="preserve">Services</w:t>
      </w:r>
      <w:r>
        <w:t xml:space="preserve"> </w:t>
      </w:r>
      <w:r>
        <w:t xml:space="preserve">in</w:t>
      </w:r>
      <w:r>
        <w:t xml:space="preserve"> </w:t>
      </w:r>
      <w:r>
        <w:t xml:space="preserve">Wellington,</w:t>
      </w:r>
      <w:r>
        <w:t xml:space="preserve"> </w:t>
      </w:r>
      <w:r>
        <w:t xml:space="preserve">New</w:t>
      </w:r>
      <w:r>
        <w:t xml:space="preserve"> </w:t>
      </w:r>
      <w:r>
        <w:t xml:space="preserve">Zealand</w:t>
      </w:r>
    </w:p>
    <w:bookmarkStart w:id="32" w:name="Xad0c85f6de873a862c7dfa6f10342f72781cd70"/>
    <w:p>
      <w:pPr>
        <w:pStyle w:val="Heading1"/>
      </w:pPr>
      <w:r>
        <w:t xml:space="preserve">Marketing Plan: Elevating Data-Driven Decisions Through Statistical Expertise in Wellington, New Zealand</w:t>
      </w:r>
    </w:p>
    <w:bookmarkStart w:id="20" w:name="executive-summary"/>
    <w:p>
      <w:pPr>
        <w:pStyle w:val="Heading2"/>
      </w:pPr>
      <w:r>
        <w:t xml:space="preserve">Executive Summary</w:t>
      </w:r>
    </w:p>
    <w:p>
      <w:pPr>
        <w:pStyle w:val="FirstParagraph"/>
      </w:pPr>
      <w:r>
        <w:t xml:space="preserve">This Marketing Plan outlines the strategy for establishing and growing "Wellington Analytica," a premier statistical consulting service led by a senior statistician, targeting businesses, government agencies, and research institutions across New Zealand's capital city. With Wellington’s economy driven by technology, public sector innovation, and environmental sustainability initiatives, there is a critical demand for precise statistical analysis that aligns with local challenges. This plan details how our</w:t>
      </w:r>
      <w:r>
        <w:t xml:space="preserve"> </w:t>
      </w:r>
      <w:r>
        <w:rPr>
          <w:bCs/>
          <w:b/>
        </w:rPr>
        <w:t xml:space="preserve">Statistician</w:t>
      </w:r>
      <w:r>
        <w:t xml:space="preserve">-led services will position us as the trusted partner for data literacy in</w:t>
      </w:r>
      <w:r>
        <w:t xml:space="preserve"> </w:t>
      </w:r>
      <w:r>
        <w:rPr>
          <w:bCs/>
          <w:b/>
        </w:rPr>
        <w:t xml:space="preserve">New Zealand Wellington</w:t>
      </w:r>
      <w:r>
        <w:t xml:space="preserve">, delivering actionable insights that drive growth and compliance.</w:t>
      </w:r>
    </w:p>
    <w:bookmarkEnd w:id="20"/>
    <w:bookmarkStart w:id="21" w:name="X6b39a6690f14c04ac4307ad17ed7f87b92c4419"/>
    <w:p>
      <w:pPr>
        <w:pStyle w:val="Heading2"/>
      </w:pPr>
      <w:r>
        <w:t xml:space="preserve">Market Analysis: Why Wellington Needs Statistical Expertise</w:t>
      </w:r>
    </w:p>
    <w:p>
      <w:pPr>
        <w:pStyle w:val="FirstParagraph"/>
      </w:pPr>
      <w:r>
        <w:t xml:space="preserve">Wellington’s dynamic economy—home to 18% of New Zealand’s tech startups, the Government Communications Security Bureau (GCSB), and vibrant cultural institutions like Te Papa—creates unique data challenges. A 2023 Economic Development Council report revealed that 65% of Wellington businesses struggle with data interpretation, leading to missed opportunities in public service optimization and market expansion. As a</w:t>
      </w:r>
      <w:r>
        <w:t xml:space="preserve"> </w:t>
      </w:r>
      <w:r>
        <w:rPr>
          <w:bCs/>
          <w:b/>
        </w:rPr>
        <w:t xml:space="preserve">Statistician</w:t>
      </w:r>
      <w:r>
        <w:t xml:space="preserve">, I observe that local organizations lack access to tailored analytical support due to high costs from national firms or limited local expertise. This gap is compounded by New Zealand’s emphasis on Māori cultural data sovereignty (Te Tiriti o Waitangi principles), requiring culturally nuanced statistical approaches rarely addressed by offshore consultants. Our service bridges this divide, offering</w:t>
      </w:r>
      <w:r>
        <w:t xml:space="preserve"> </w:t>
      </w:r>
      <w:r>
        <w:rPr>
          <w:bCs/>
          <w:b/>
        </w:rPr>
        <w:t xml:space="preserve">New Zealand Wellington</w:t>
      </w:r>
      <w:r>
        <w:t xml:space="preserve">-centric solutions grounded in regional context.</w:t>
      </w:r>
    </w:p>
    <w:bookmarkEnd w:id="21"/>
    <w:bookmarkStart w:id="22" w:name="target-audience"/>
    <w:p>
      <w:pPr>
        <w:pStyle w:val="Heading2"/>
      </w:pPr>
      <w:r>
        <w:t xml:space="preserve">Target Audience</w:t>
      </w:r>
    </w:p>
    <w:p>
      <w:pPr>
        <w:numPr>
          <w:ilvl w:val="0"/>
          <w:numId w:val="1001"/>
        </w:numPr>
        <w:pStyle w:val="Compact"/>
      </w:pPr>
      <w:r>
        <w:rPr>
          <w:bCs/>
          <w:b/>
        </w:rPr>
        <w:t xml:space="preserve">Wellington Government Entities:</w:t>
      </w:r>
      <w:r>
        <w:t xml:space="preserve"> </w:t>
      </w:r>
      <w:r>
        <w:t xml:space="preserve">Wellington City Council, Department of Corrections (Wellington office), and NZ Transport Agency. They need statistical support for infrastructure planning, public health initiatives (e.g., post-pandemic recovery), and budget forecasting aligned with local priorities.</w:t>
      </w:r>
    </w:p>
    <w:p>
      <w:pPr>
        <w:numPr>
          <w:ilvl w:val="0"/>
          <w:numId w:val="1001"/>
        </w:numPr>
        <w:pStyle w:val="Compact"/>
      </w:pPr>
      <w:r>
        <w:rPr>
          <w:bCs/>
          <w:b/>
        </w:rPr>
        <w:t xml:space="preserve">Startups &amp; SMEs:</w:t>
      </w:r>
      <w:r>
        <w:t xml:space="preserve"> </w:t>
      </w:r>
      <w:r>
        <w:t xml:space="preserve">Tech firms in Civic Square, tourism operators, and social enterprises require statistical validation for funding pitches (e.g., using data to secure NZTE grants) and customer behavior analysis.</w:t>
      </w:r>
    </w:p>
    <w:p>
      <w:pPr>
        <w:numPr>
          <w:ilvl w:val="0"/>
          <w:numId w:val="1001"/>
        </w:numPr>
        <w:pStyle w:val="Compact"/>
      </w:pPr>
      <w:r>
        <w:rPr>
          <w:bCs/>
          <w:b/>
        </w:rPr>
        <w:t xml:space="preserve">Research Institutions:</w:t>
      </w:r>
      <w:r>
        <w:t xml:space="preserve"> </w:t>
      </w:r>
      <w:r>
        <w:t xml:space="preserve">Victoria University of Wellington’s School of Government and Massey University’s Statistics Department seek collaborative analytics for environmental studies (e.g., climate resilience projects in Wellington Harbour).</w:t>
      </w:r>
    </w:p>
    <w:bookmarkEnd w:id="22"/>
    <w:bookmarkStart w:id="23" w:name="X75ef960bf085ee27943d92f9cd16a45a0be4db8"/>
    <w:p>
      <w:pPr>
        <w:pStyle w:val="Heading2"/>
      </w:pPr>
      <w:r>
        <w:t xml:space="preserve">Service Differentiation: The Wellington Statistician Advantage</w:t>
      </w:r>
    </w:p>
    <w:p>
      <w:pPr>
        <w:pStyle w:val="FirstParagraph"/>
      </w:pPr>
      <w:r>
        <w:t xml:space="preserve">Unlike generic statistical firms, our offering integrates deep knowledge of New Zealand’s socio-economic landscape:</w:t>
      </w:r>
    </w:p>
    <w:p>
      <w:pPr>
        <w:numPr>
          <w:ilvl w:val="0"/>
          <w:numId w:val="1002"/>
        </w:numPr>
        <w:pStyle w:val="Compact"/>
      </w:pPr>
      <w:r>
        <w:rPr>
          <w:bCs/>
          <w:b/>
        </w:rPr>
        <w:t xml:space="preserve">Local Data Mastery:</w:t>
      </w:r>
      <w:r>
        <w:t xml:space="preserve"> </w:t>
      </w:r>
      <w:r>
        <w:t xml:space="preserve">We leverage Stats NZ datasets (e.g., Wellington Regional Population Census) and public sector open data portals to provide context-specific insights, avoiding one-size-fits-all models.</w:t>
      </w:r>
    </w:p>
    <w:p>
      <w:pPr>
        <w:numPr>
          <w:ilvl w:val="0"/>
          <w:numId w:val="1002"/>
        </w:numPr>
        <w:pStyle w:val="Compact"/>
      </w:pPr>
      <w:r>
        <w:rPr>
          <w:bCs/>
          <w:b/>
        </w:rPr>
        <w:t xml:space="preserve">Māori-Centered Analytics:</w:t>
      </w:r>
      <w:r>
        <w:t xml:space="preserve"> </w:t>
      </w:r>
      <w:r>
        <w:t xml:space="preserve">Our methods respect Te Tiriti o Waitangi by incorporating Māori data governance frameworks (e.g., Kaitiakitanga principles) in community health or environmental projects.</w:t>
      </w:r>
    </w:p>
    <w:p>
      <w:pPr>
        <w:numPr>
          <w:ilvl w:val="0"/>
          <w:numId w:val="1002"/>
        </w:numPr>
        <w:pStyle w:val="Compact"/>
      </w:pPr>
      <w:r>
        <w:rPr>
          <w:bCs/>
          <w:b/>
        </w:rPr>
        <w:t xml:space="preserve">Cost-Efficient Wellington Pricing:</w:t>
      </w:r>
      <w:r>
        <w:t xml:space="preserve"> </w:t>
      </w:r>
      <w:r>
        <w:t xml:space="preserve">Services are priced 25% below Auckland-based firms (e.g., $180/hr vs. $240/hr), reflecting Wellington’s lower operational costs while maintaining premium quality.</w:t>
      </w:r>
    </w:p>
    <w:bookmarkEnd w:id="23"/>
    <w:bookmarkStart w:id="28" w:name="X2418dbbce26880f73a1706b4c45b4e2fd63ee88"/>
    <w:p>
      <w:pPr>
        <w:pStyle w:val="Heading2"/>
      </w:pPr>
      <w:r>
        <w:t xml:space="preserve">Marketing Strategy: Building Trust in New Zealand Wellington</w:t>
      </w:r>
    </w:p>
    <w:p>
      <w:pPr>
        <w:pStyle w:val="FirstParagraph"/>
      </w:pPr>
      <w:r>
        <w:t xml:space="preserve">We will execute a hyper-localized campaign focusing on community engagement and digital precision:</w:t>
      </w:r>
    </w:p>
    <w:bookmarkStart w:id="24" w:name="content-marketing-with-local-relevance"/>
    <w:p>
      <w:pPr>
        <w:pStyle w:val="Heading3"/>
      </w:pPr>
      <w:r>
        <w:t xml:space="preserve">1. Content Marketing with Local Relevance</w:t>
      </w:r>
    </w:p>
    <w:p>
      <w:pPr>
        <w:pStyle w:val="FirstParagraph"/>
      </w:pPr>
      <w:r>
        <w:t xml:space="preserve">Create free, actionable resources like "Wellington Economic Pulse" (monthly analysis of city-specific economic indicators) and "Data for Wellington Leaders" guides. Distribute via the Wellington Chamber of Commerce newsletter and local podcasts (e.g., The Wellingtonian). All content emphasizes New Zealand context—e.g., analyzing tourism rebound post-2023 floods or retail trends in Cuba Street.</w:t>
      </w:r>
    </w:p>
    <w:bookmarkEnd w:id="24"/>
    <w:bookmarkStart w:id="25" w:name="strategic-partnerships"/>
    <w:p>
      <w:pPr>
        <w:pStyle w:val="Heading3"/>
      </w:pPr>
      <w:r>
        <w:t xml:space="preserve">2. Strategic Partnerships</w:t>
      </w:r>
    </w:p>
    <w:p>
      <w:pPr>
        <w:pStyle w:val="FirstParagraph"/>
      </w:pPr>
      <w:r>
        <w:t xml:space="preserve">Forge alliances with key Wellington institutions:</w:t>
      </w:r>
    </w:p>
    <w:p>
      <w:pPr>
        <w:numPr>
          <w:ilvl w:val="0"/>
          <w:numId w:val="1003"/>
        </w:numPr>
        <w:pStyle w:val="Compact"/>
      </w:pPr>
      <w:r>
        <w:t xml:space="preserve">Co-host workshops with Victoria University’s Data Science Group on "Statistical Tools for Wellington Environmental Policy."</w:t>
      </w:r>
    </w:p>
    <w:p>
      <w:pPr>
        <w:numPr>
          <w:ilvl w:val="0"/>
          <w:numId w:val="1003"/>
        </w:numPr>
        <w:pStyle w:val="Compact"/>
      </w:pPr>
      <w:r>
        <w:t xml:space="preserve">Partner with the Wellington City Council’s Innovation Unit to offer subsidized pilot projects for city-led initiatives (e.g., optimizing public transport routes using real-time commuter data).</w:t>
      </w:r>
    </w:p>
    <w:bookmarkEnd w:id="25"/>
    <w:bookmarkStart w:id="26" w:name="digital-community-outreach"/>
    <w:p>
      <w:pPr>
        <w:pStyle w:val="Heading3"/>
      </w:pPr>
      <w:r>
        <w:t xml:space="preserve">3. Digital &amp; Community Outreach</w:t>
      </w:r>
    </w:p>
    <w:p>
      <w:pPr>
        <w:pStyle w:val="FirstParagraph"/>
      </w:pPr>
      <w:r>
        <w:t xml:space="preserve">Run targeted Facebook/LinkedIn ads highlighting success stories: "How we helped a Wellington tourism startup increase booking conversions by 40% using local visitor demographics." Attend Wellington Tech Meetups and the annual New Zealand Statistical Association Conference in Wellington. List services on local platforms like Trade Me Business and NZBusiness.net.</w:t>
      </w:r>
    </w:p>
    <w:bookmarkEnd w:id="26"/>
    <w:bookmarkStart w:id="27" w:name="thought-leadership"/>
    <w:p>
      <w:pPr>
        <w:pStyle w:val="Heading3"/>
      </w:pPr>
      <w:r>
        <w:t xml:space="preserve">4. Thought Leadership</w:t>
      </w:r>
    </w:p>
    <w:p>
      <w:pPr>
        <w:pStyle w:val="FirstParagraph"/>
      </w:pPr>
      <w:r>
        <w:t xml:space="preserve">Publish case studies in regional media (e.g., The Dominion Post) showcasing how our</w:t>
      </w:r>
      <w:r>
        <w:t xml:space="preserve"> </w:t>
      </w:r>
      <w:r>
        <w:rPr>
          <w:bCs/>
          <w:b/>
        </w:rPr>
        <w:t xml:space="preserve">Statistician</w:t>
      </w:r>
      <w:r>
        <w:t xml:space="preserve"> </w:t>
      </w:r>
      <w:r>
        <w:t xml:space="preserve">resolved Wellington-specific challenges: "Reducing Waitangi Day event costs 30% through predictive crowd analysis for Wellington’s Civic Square." Position ourselves as the voice of data integrity in New Zealand’s capital.</w:t>
      </w:r>
    </w:p>
    <w:bookmarkEnd w:id="27"/>
    <w:bookmarkEnd w:id="28"/>
    <w:bookmarkStart w:id="29" w:name="pricing-revenue-model"/>
    <w:p>
      <w:pPr>
        <w:pStyle w:val="Heading2"/>
      </w:pPr>
      <w:r>
        <w:t xml:space="preserve">Pricing &amp; Revenue Model</w:t>
      </w:r>
    </w:p>
    <w:p>
      <w:pPr>
        <w:pStyle w:val="FirstParagraph"/>
      </w:pPr>
      <w:r>
        <w:t xml:space="preserve">We adopt a flexible structure to suit Wellington’s diverse clients:</w:t>
      </w:r>
    </w:p>
    <w:p>
      <w:pPr>
        <w:numPr>
          <w:ilvl w:val="0"/>
          <w:numId w:val="1004"/>
        </w:numPr>
        <w:pStyle w:val="Compact"/>
      </w:pPr>
      <w:r>
        <w:rPr>
          <w:bCs/>
          <w:b/>
        </w:rPr>
        <w:t xml:space="preserve">Project-Based:</w:t>
      </w:r>
      <w:r>
        <w:t xml:space="preserve"> </w:t>
      </w:r>
      <w:r>
        <w:t xml:space="preserve">$1,500–$5,000 for specific analyses (e.g., "Wellington Housing Market Trend Report").</w:t>
      </w:r>
    </w:p>
    <w:p>
      <w:pPr>
        <w:numPr>
          <w:ilvl w:val="0"/>
          <w:numId w:val="1004"/>
        </w:numPr>
        <w:pStyle w:val="Compact"/>
      </w:pPr>
      <w:r>
        <w:rPr>
          <w:bCs/>
          <w:b/>
        </w:rPr>
        <w:t xml:space="preserve">Retainer Packages:</w:t>
      </w:r>
      <w:r>
        <w:t xml:space="preserve"> </w:t>
      </w:r>
      <w:r>
        <w:t xml:space="preserve">$800/month for ongoing support (e.g., monthly data health checks for SMEs).</w:t>
      </w:r>
    </w:p>
    <w:p>
      <w:pPr>
        <w:numPr>
          <w:ilvl w:val="0"/>
          <w:numId w:val="1004"/>
        </w:numPr>
        <w:pStyle w:val="Compact"/>
      </w:pPr>
      <w:r>
        <w:rPr>
          <w:bCs/>
          <w:b/>
        </w:rPr>
        <w:t xml:space="preserve">Government-Only Rate:</w:t>
      </w:r>
      <w:r>
        <w:t xml:space="preserve"> </w:t>
      </w:r>
      <w:r>
        <w:t xml:space="preserve">15% discount for councils/NGOs to encourage public-sector adoption.</w:t>
      </w:r>
    </w:p>
    <w:p>
      <w:pPr>
        <w:pStyle w:val="FirstParagraph"/>
      </w:pPr>
      <w:r>
        <w:t xml:space="preserve">This pricing ensures affordability while reflecting the high value of locally adapted statistical expertise in New Zealand Wellington.</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partnerships with Wellington Chamber of Commerce; launch free "Wellington Data Primer" guide.</w:t>
      </w:r>
    </w:p>
    <w:p>
      <w:pPr>
        <w:pStyle w:val="BodyText"/>
      </w:pPr>
      <w:r>
        <w:t xml:space="preserve">Q2 2024</w:t>
      </w:r>
    </w:p>
    <w:p>
      <w:pPr>
        <w:pStyle w:val="BodyText"/>
      </w:pPr>
      <w:r>
        <w:t xml:space="preserve">Secure first government pilot project (Wellington City Council); host inaugural stats workshop at Te Papa.</w:t>
      </w:r>
    </w:p>
    <w:p>
      <w:pPr>
        <w:pStyle w:val="BodyText"/>
      </w:pPr>
      <w:r>
        <w:t xml:space="preserve">Q3 2024</w:t>
      </w:r>
    </w:p>
    <w:p>
      <w:pPr>
        <w:pStyle w:val="BodyText"/>
      </w:pPr>
      <w:r>
        <w:t xml:space="preserve">Publish 3 case studies in NZ media; expand retainer client base to 10 SMEs.</w:t>
      </w:r>
    </w:p>
    <w:p>
      <w:pPr>
        <w:pStyle w:val="BodyText"/>
      </w:pPr>
      <w:r>
        <w:t xml:space="preserve">Q4 2024</w:t>
      </w:r>
    </w:p>
    <w:p>
      <w:pPr>
        <w:pStyle w:val="BodyText"/>
      </w:pPr>
      <w:r>
        <w:t xml:space="preserve">Target: $55,000 revenue; establish Wellington as core service hub for all New Zealand regions.</w:t>
      </w:r>
    </w:p>
    <w:bookmarkEnd w:id="30"/>
    <w:bookmarkStart w:id="31" w:name="Xf003d58ca9ed741a1e24be183a1c92e27282b36"/>
    <w:p>
      <w:pPr>
        <w:pStyle w:val="Heading2"/>
      </w:pPr>
      <w:r>
        <w:t xml:space="preserve">Conclusion: Why Wellington Demands a Local Statistician</w:t>
      </w:r>
    </w:p>
    <w:p>
      <w:pPr>
        <w:pStyle w:val="FirstParagraph"/>
      </w:pPr>
      <w:r>
        <w:t xml:space="preserve">In an era where data is the currency of progress, businesses and institutions in</w:t>
      </w:r>
      <w:r>
        <w:t xml:space="preserve"> </w:t>
      </w:r>
      <w:r>
        <w:rPr>
          <w:bCs/>
          <w:b/>
        </w:rPr>
        <w:t xml:space="preserve">New Zealand Wellington</w:t>
      </w:r>
      <w:r>
        <w:t xml:space="preserve"> </w:t>
      </w:r>
      <w:r>
        <w:t xml:space="preserve">cannot afford generic analytics. Our Marketing Plan ensures that every service we deliver—from optimizing public transport efficiency to validating Māori-led environmental initiatives—is rooted in the unique realities of this city. As a dedicated</w:t>
      </w:r>
      <w:r>
        <w:t xml:space="preserve"> </w:t>
      </w:r>
      <w:r>
        <w:rPr>
          <w:bCs/>
          <w:b/>
        </w:rPr>
        <w:t xml:space="preserve">Statistician</w:t>
      </w:r>
      <w:r>
        <w:t xml:space="preserve">, I commit to making complex data accessible, ethical, and transformative for Wellington’s communities. By embedding ourselves in the local ecosystem, we won’t just market a service; we’ll become an essential pillar of Wellington’s data-driven future.</w:t>
      </w:r>
    </w:p>
    <w:p>
      <w:pPr>
        <w:pStyle w:val="BodyText"/>
      </w:pPr>
      <w:r>
        <w:rPr>
          <w:bCs/>
          <w:b/>
        </w:rPr>
        <w:t xml:space="preserve">Wellington Analytica: Where Data Meets 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Consulting Services in Wellington, New Zealand</dc:title>
  <dc:creator/>
  <dc:language>en</dc:language>
  <cp:keywords/>
  <dcterms:created xsi:type="dcterms:W3CDTF">2025-12-11T19:01:09Z</dcterms:created>
  <dcterms:modified xsi:type="dcterms:W3CDTF">2025-12-11T19:01:09Z</dcterms:modified>
</cp:coreProperties>
</file>

<file path=docProps/custom.xml><?xml version="1.0" encoding="utf-8"?>
<Properties xmlns="http://schemas.openxmlformats.org/officeDocument/2006/custom-properties" xmlns:vt="http://schemas.openxmlformats.org/officeDocument/2006/docPropsVTypes"/>
</file>