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29" w:name="Xd97756c8063fcf1157d6b18429d34f72e8339ab"/>
    <w:p>
      <w:pPr>
        <w:pStyle w:val="Heading1"/>
      </w:pPr>
      <w:r>
        <w:t xml:space="preserve">Comprehensive Marketing Plan for Statistician Talent Acquisition in Tashkent, Uzbekistan</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Statisticians in Uzbekistan Tashkent, aligning with national development goals under "Digital Uzbekistan 2030." With Tashkent as the economic and technological hub of Uzbekistan, this plan targets organizations requiring data-driven decision-making. The core focus is recruiting and retaining skilled Statisticians to support government agencies, private enterprises, and international partners operating in Tashkent. This initiative directly responds to Uzbekistan's strategic priority of building statistical capacity for evidence-based policymaking.</w:t>
      </w:r>
    </w:p>
    <w:bookmarkEnd w:id="20"/>
    <w:bookmarkStart w:id="21" w:name="X65f0fd5a55b47be03c2e6587f34b74c686c3c0d"/>
    <w:p>
      <w:pPr>
        <w:pStyle w:val="Heading2"/>
      </w:pPr>
      <w:r>
        <w:t xml:space="preserve">Market Analysis: Uzbekistan Tashkent Context</w:t>
      </w:r>
    </w:p>
    <w:p>
      <w:pPr>
        <w:pStyle w:val="FirstParagraph"/>
      </w:pPr>
      <w:r>
        <w:t xml:space="preserve">The demand for Statisticians in Uzbekistan has surged due to the government's mandatory adoption of data-centric approaches across sectors. According to the State Committee of Statistics (Uzstat), over 65% of Tashkent-based businesses and 100% of national ministries now require statistical expertise for compliance with new regulatory frameworks. However, Uzbekistan faces a significant talent gap: only 23% of analytical roles in Tashkent are filled by locally trained professionals (Uzstat Annual Report 2023). This scarcity presents a strategic opportunity for targeted recruitment and development initiatives. Key drivers include:</w:t>
      </w:r>
    </w:p>
    <w:p>
      <w:pPr>
        <w:numPr>
          <w:ilvl w:val="0"/>
          <w:numId w:val="1001"/>
        </w:numPr>
        <w:pStyle w:val="Compact"/>
      </w:pPr>
      <w:r>
        <w:t xml:space="preserve">Government mandates for data transparency in the "National Strategy for Statistical Development 2025"</w:t>
      </w:r>
    </w:p>
    <w:p>
      <w:pPr>
        <w:numPr>
          <w:ilvl w:val="0"/>
          <w:numId w:val="1001"/>
        </w:numPr>
        <w:pStyle w:val="Compact"/>
      </w:pPr>
      <w:r>
        <w:t xml:space="preserve">Growth of Tashkent’s IT sector, with 47% year-on-year increase in data analytics startups (Tashkent IT Park Report)</w:t>
      </w:r>
    </w:p>
    <w:p>
      <w:pPr>
        <w:numPr>
          <w:ilvl w:val="0"/>
          <w:numId w:val="1001"/>
        </w:numPr>
        <w:pStyle w:val="Compact"/>
      </w:pPr>
      <w:r>
        <w:t xml:space="preserve">International donor projects (World Bank, ADB) requiring local statistical capacity</w:t>
      </w:r>
    </w:p>
    <w:bookmarkEnd w:id="21"/>
    <w:bookmarkStart w:id="22" w:name="X1356479babb1b5b727dace66c6902a42b4a11ca"/>
    <w:p>
      <w:pPr>
        <w:pStyle w:val="Heading2"/>
      </w:pPr>
      <w:r>
        <w:t xml:space="preserve">Target Audience for Statistician Services</w:t>
      </w:r>
    </w:p>
    <w:p>
      <w:pPr>
        <w:pStyle w:val="FirstParagraph"/>
      </w:pPr>
      <w:r>
        <w:t xml:space="preserve">The primary audience comprises organizations in Tashkent seeking qualified Statisticians:</w:t>
      </w:r>
    </w:p>
    <w:p>
      <w:pPr>
        <w:numPr>
          <w:ilvl w:val="0"/>
          <w:numId w:val="1002"/>
        </w:numPr>
        <w:pStyle w:val="Compact"/>
      </w:pPr>
      <w:r>
        <w:rPr>
          <w:bCs/>
          <w:b/>
        </w:rPr>
        <w:t xml:space="preserve">Government Entities:</w:t>
      </w:r>
      <w:r>
        <w:t xml:space="preserve"> </w:t>
      </w:r>
      <w:r>
        <w:t xml:space="preserve">Ministry of Economy, National Statistics Committee (Uzstat), and local Tashkent administrative bodies implementing national data programs.</w:t>
      </w:r>
    </w:p>
    <w:p>
      <w:pPr>
        <w:numPr>
          <w:ilvl w:val="0"/>
          <w:numId w:val="1002"/>
        </w:numPr>
        <w:pStyle w:val="Compact"/>
      </w:pPr>
      <w:r>
        <w:rPr>
          <w:bCs/>
          <w:b/>
        </w:rPr>
        <w:t xml:space="preserve">Private Sector:</w:t>
      </w:r>
      <w:r>
        <w:t xml:space="preserve"> </w:t>
      </w:r>
      <w:r>
        <w:t xml:space="preserve">Multinationals in Tashkent (e.g., Samsung, UzAuto), financial institutions (KAPITAL Bank, XalqBank), and tech companies requiring market analytics.</w:t>
      </w:r>
    </w:p>
    <w:p>
      <w:pPr>
        <w:numPr>
          <w:ilvl w:val="0"/>
          <w:numId w:val="1002"/>
        </w:numPr>
        <w:pStyle w:val="Compact"/>
      </w:pPr>
      <w:r>
        <w:rPr>
          <w:bCs/>
          <w:b/>
        </w:rPr>
        <w:t xml:space="preserve">International Organizations:</w:t>
      </w:r>
      <w:r>
        <w:t xml:space="preserve"> </w:t>
      </w:r>
      <w:r>
        <w:t xml:space="preserve">UNDP, World Bank projects based in Tashkent needing local statistical support.</w:t>
      </w:r>
    </w:p>
    <w:p>
      <w:pPr>
        <w:pStyle w:val="FirstParagraph"/>
      </w:pPr>
      <w:r>
        <w:t xml:space="preserve">Secondary audiences include Tashkent universities (e.g., National University of Uzbekistan, Tashkent Institute of Economics) and professional associations like the Uzbek Statistical Association.</w:t>
      </w:r>
    </w:p>
    <w:bookmarkEnd w:id="22"/>
    <w:bookmarkStart w:id="23" w:name="Xe717b531878bf3ad476f23690018ed17ad5e980"/>
    <w:p>
      <w:pPr>
        <w:pStyle w:val="Heading2"/>
      </w:pPr>
      <w:r>
        <w:t xml:space="preserve">Proposed Statistician Recruitment &amp; Development Services</w:t>
      </w:r>
    </w:p>
    <w:p>
      <w:pPr>
        <w:pStyle w:val="FirstParagraph"/>
      </w:pPr>
      <w:r>
        <w:t xml:space="preserve">This Marketing Plan focuses on delivering a specialized Statistician talent pipeline. Core services include:</w:t>
      </w:r>
    </w:p>
    <w:p>
      <w:pPr>
        <w:numPr>
          <w:ilvl w:val="0"/>
          <w:numId w:val="1003"/>
        </w:numPr>
        <w:pStyle w:val="Compact"/>
      </w:pPr>
      <w:r>
        <w:rPr>
          <w:bCs/>
          <w:b/>
        </w:rPr>
        <w:t xml:space="preserve">Targeted Talent Sourcing:</w:t>
      </w:r>
      <w:r>
        <w:t xml:space="preserve"> </w:t>
      </w:r>
      <w:r>
        <w:t xml:space="preserve">Partnering with Tashkent universities to identify high-potential graduates through exclusive internship programs.</w:t>
      </w:r>
    </w:p>
    <w:p>
      <w:pPr>
        <w:numPr>
          <w:ilvl w:val="0"/>
          <w:numId w:val="1003"/>
        </w:numPr>
        <w:pStyle w:val="Compact"/>
      </w:pPr>
      <w:r>
        <w:rPr>
          <w:bCs/>
          <w:b/>
        </w:rPr>
        <w:t xml:space="preserve">Certification Pathways:</w:t>
      </w:r>
      <w:r>
        <w:t xml:space="preserve"> </w:t>
      </w:r>
      <w:r>
        <w:t xml:space="preserve">Collaborating with the Uzbekistan Ministry of Education to develop accredited statistical training modules for mid-career professionals in Tashkent.</w:t>
      </w:r>
    </w:p>
    <w:p>
      <w:pPr>
        <w:numPr>
          <w:ilvl w:val="0"/>
          <w:numId w:val="1003"/>
        </w:numPr>
        <w:pStyle w:val="Compact"/>
      </w:pPr>
      <w:r>
        <w:rPr>
          <w:bCs/>
          <w:b/>
        </w:rPr>
        <w:t xml:space="preserve">Cultural Integration Support:</w:t>
      </w:r>
      <w:r>
        <w:t xml:space="preserve"> </w:t>
      </w:r>
      <w:r>
        <w:t xml:space="preserve">Pre-employment workshops addressing workplace norms in Uzbekistan, including communication styles and government procurement protocols unique to Tashkent.</w:t>
      </w:r>
    </w:p>
    <w:p>
      <w:pPr>
        <w:numPr>
          <w:ilvl w:val="0"/>
          <w:numId w:val="1003"/>
        </w:numPr>
        <w:pStyle w:val="Compact"/>
      </w:pPr>
      <w:r>
        <w:rPr>
          <w:bCs/>
          <w:b/>
        </w:rPr>
        <w:t xml:space="preserve">Retention Strategy:</w:t>
      </w:r>
      <w:r>
        <w:t xml:space="preserve"> </w:t>
      </w:r>
      <w:r>
        <w:t xml:space="preserve">Competitive compensation packages benchmarked against Tashkent’s salary market (averaging $1,200–$2,500/month for Statisticians) with career progression tied to Uzbekistan’s "Digital Economy" initiatives.</w:t>
      </w:r>
    </w:p>
    <w:bookmarkEnd w:id="23"/>
    <w:bookmarkStart w:id="24" w:name="X5cc11295cf584716366687a8b0211a94d8556e7"/>
    <w:p>
      <w:pPr>
        <w:pStyle w:val="Heading2"/>
      </w:pPr>
      <w:r>
        <w:t xml:space="preserve">Marketing &amp; Promotion Strategy for Tashkent Market</w:t>
      </w:r>
    </w:p>
    <w:p>
      <w:pPr>
        <w:pStyle w:val="FirstParagraph"/>
      </w:pPr>
      <w:r>
        <w:t xml:space="preserve">To effectively reach clients in Uzbekistan Tashkent, this plan implements hyper-localized marketing:</w:t>
      </w:r>
    </w:p>
    <w:p>
      <w:pPr>
        <w:numPr>
          <w:ilvl w:val="0"/>
          <w:numId w:val="1004"/>
        </w:numPr>
        <w:pStyle w:val="Compact"/>
      </w:pPr>
      <w:r>
        <w:rPr>
          <w:bCs/>
          <w:b/>
        </w:rPr>
        <w:t xml:space="preserve">Content Marketing:</w:t>
      </w:r>
      <w:r>
        <w:t xml:space="preserve"> </w:t>
      </w:r>
      <w:r>
        <w:t xml:space="preserve">Publish case studies in Uzbek and English on Tashkent-based success stories (e.g., "How a Statistician at UzAuto Reduced Supply Chain Costs by 22%"). Content distributed via Tashkent-focused business platforms like "UzBusiness" and LinkedIn groups for Uzbek professionals.</w:t>
      </w:r>
    </w:p>
    <w:p>
      <w:pPr>
        <w:numPr>
          <w:ilvl w:val="0"/>
          <w:numId w:val="1004"/>
        </w:numPr>
        <w:pStyle w:val="Compact"/>
      </w:pPr>
      <w:r>
        <w:rPr>
          <w:bCs/>
          <w:b/>
        </w:rPr>
        <w:t xml:space="preserve">Localized Events:</w:t>
      </w:r>
      <w:r>
        <w:t xml:space="preserve"> </w:t>
      </w:r>
      <w:r>
        <w:t xml:space="preserve">Host quarterly workshops in Tashkent (at venues like the "Tashkent International Conference Center") on topics such as "Statistical Methods for Uzbekistan’s Agricultural Sector," co-sponsored by Uzstat. Includes networking with key government contacts.</w:t>
      </w:r>
    </w:p>
    <w:p>
      <w:pPr>
        <w:numPr>
          <w:ilvl w:val="0"/>
          <w:numId w:val="1004"/>
        </w:numPr>
        <w:pStyle w:val="Compact"/>
      </w:pPr>
      <w:r>
        <w:rPr>
          <w:bCs/>
          <w:b/>
        </w:rPr>
        <w:t xml:space="preserve">Digital Campaigns:</w:t>
      </w:r>
      <w:r>
        <w:t xml:space="preserve"> </w:t>
      </w:r>
      <w:r>
        <w:t xml:space="preserve">Geo-targeted social media ads on Instagram and WhatsApp (dominant platforms in Tashkent) using Uzbek-language content. Hashtag: #StatisticianTashkent. Partnerships with influencers like "TechTashkent" for video testimonials.</w:t>
      </w:r>
    </w:p>
    <w:p>
      <w:pPr>
        <w:numPr>
          <w:ilvl w:val="0"/>
          <w:numId w:val="1004"/>
        </w:numPr>
        <w:pStyle w:val="Compact"/>
      </w:pPr>
      <w:r>
        <w:rPr>
          <w:bCs/>
          <w:b/>
        </w:rPr>
        <w:t xml:space="preserve">Government Engagement:</w:t>
      </w:r>
      <w:r>
        <w:t xml:space="preserve"> </w:t>
      </w:r>
      <w:r>
        <w:t xml:space="preserve">Direct outreach to the Tashkent City Administration’s Economic Development Department to align recruitment with city-wide digital transformation goals, leveraging Uzbekistan's national priority status for statistical capacity building.</w:t>
      </w:r>
    </w:p>
    <w:bookmarkEnd w:id="24"/>
    <w:bookmarkStart w:id="25" w:name="pricing-value-proposition"/>
    <w:p>
      <w:pPr>
        <w:pStyle w:val="Heading2"/>
      </w:pPr>
      <w:r>
        <w:t xml:space="preserve">Pricing &amp; Value Proposition</w:t>
      </w:r>
    </w:p>
    <w:p>
      <w:pPr>
        <w:pStyle w:val="FirstParagraph"/>
      </w:pPr>
      <w:r>
        <w:t xml:space="preserve">The service fee structure is designed for Tashkent’s market realities:</w:t>
      </w:r>
    </w:p>
    <w:p>
      <w:pPr>
        <w:numPr>
          <w:ilvl w:val="0"/>
          <w:numId w:val="1005"/>
        </w:numPr>
        <w:pStyle w:val="Compact"/>
      </w:pPr>
      <w:r>
        <w:rPr>
          <w:bCs/>
          <w:b/>
        </w:rPr>
        <w:t xml:space="preserve">Recruitment Service:</w:t>
      </w:r>
      <w:r>
        <w:t xml:space="preserve"> </w:t>
      </w:r>
      <w:r>
        <w:t xml:space="preserve">$1,500–$3,500 per Statistician placement (based on seniority), significantly below international agency rates.</w:t>
      </w:r>
    </w:p>
    <w:p>
      <w:pPr>
        <w:numPr>
          <w:ilvl w:val="0"/>
          <w:numId w:val="1005"/>
        </w:numPr>
        <w:pStyle w:val="Compact"/>
      </w:pPr>
      <w:r>
        <w:rPr>
          <w:bCs/>
          <w:b/>
        </w:rPr>
        <w:t xml:space="preserve">Training Package:</w:t>
      </w:r>
      <w:r>
        <w:t xml:space="preserve"> </w:t>
      </w:r>
      <w:r>
        <w:t xml:space="preserve">$800–$1,200 per participant for Uzstat-accredited workshops held in Tashkent.</w:t>
      </w:r>
    </w:p>
    <w:p>
      <w:pPr>
        <w:pStyle w:val="FirstParagraph"/>
      </w:pPr>
      <w:r>
        <w:t xml:space="preserve">The value proposition centers on solving Uzbekistan’s critical talent gap: "We deliver Statisticians who understand Tashkent’s regulatory environment, cultural context, and data challenges—ensuring immediate impact for your Uzbekistan operations." This directly addresses the pain point of foreign companies struggling with local compliance in Tashkent.</w:t>
      </w:r>
    </w:p>
    <w:bookmarkEnd w:id="25"/>
    <w:bookmarkStart w:id="26" w:name="implementation-timeline-tashkent-focus"/>
    <w:p>
      <w:pPr>
        <w:pStyle w:val="Heading2"/>
      </w:pPr>
      <w:r>
        <w:t xml:space="preserve">Implementation Timeline (Tashkent Focus)</w:t>
      </w:r>
    </w:p>
    <w:p>
      <w:pPr>
        <w:numPr>
          <w:ilvl w:val="0"/>
          <w:numId w:val="1006"/>
        </w:numPr>
        <w:pStyle w:val="Compact"/>
      </w:pPr>
      <w:r>
        <w:rPr>
          <w:bCs/>
          <w:b/>
        </w:rPr>
        <w:t xml:space="preserve">Months 1–2:</w:t>
      </w:r>
      <w:r>
        <w:t xml:space="preserve"> </w:t>
      </w:r>
      <w:r>
        <w:t xml:space="preserve">Partner with Tashkent State University to launch a joint "Statistical Excellence" scholarship program. Finalize Uzstat certification agreements.</w:t>
      </w:r>
    </w:p>
    <w:p>
      <w:pPr>
        <w:numPr>
          <w:ilvl w:val="0"/>
          <w:numId w:val="1006"/>
        </w:numPr>
        <w:pStyle w:val="Compact"/>
      </w:pPr>
      <w:r>
        <w:rPr>
          <w:bCs/>
          <w:b/>
        </w:rPr>
        <w:t xml:space="preserve">Months 3–4:</w:t>
      </w:r>
      <w:r>
        <w:t xml:space="preserve"> </w:t>
      </w:r>
      <w:r>
        <w:t xml:space="preserve">Host first "Tashkent Data Summit" with government and private sector leaders. Initiate social media campaign #StatisticianTashkent.</w:t>
      </w:r>
    </w:p>
    <w:p>
      <w:pPr>
        <w:numPr>
          <w:ilvl w:val="0"/>
          <w:numId w:val="1006"/>
        </w:numPr>
        <w:pStyle w:val="Compact"/>
      </w:pPr>
      <w:r>
        <w:rPr>
          <w:bCs/>
          <w:b/>
        </w:rPr>
        <w:t xml:space="preserve">Months 5–6:</w:t>
      </w:r>
      <w:r>
        <w:t xml:space="preserve"> </w:t>
      </w:r>
      <w:r>
        <w:t xml:space="preserve">Deploy recruitment drive targeting Tashkent-based organizations. Achieve first 15 Statistician placements in key sectors (agriculture, finance, government).</w:t>
      </w:r>
    </w:p>
    <w:bookmarkEnd w:id="26"/>
    <w:bookmarkStart w:id="27" w:name="Xf19f46fd3356e3da33947da63dfc2dba548ff0c"/>
    <w:p>
      <w:pPr>
        <w:pStyle w:val="Heading2"/>
      </w:pPr>
      <w:r>
        <w:t xml:space="preserve">Measuring Success for Uzbekistan Tashkent Operations</w:t>
      </w:r>
    </w:p>
    <w:p>
      <w:pPr>
        <w:pStyle w:val="FirstParagraph"/>
      </w:pPr>
      <w:r>
        <w:t xml:space="preserve">KPIs are tailored to the Uzbekistan context:</w:t>
      </w:r>
    </w:p>
    <w:p>
      <w:pPr>
        <w:numPr>
          <w:ilvl w:val="0"/>
          <w:numId w:val="1007"/>
        </w:numPr>
        <w:pStyle w:val="Compact"/>
      </w:pPr>
      <w:r>
        <w:t xml:space="preserve">50% increase in Statistician placements with Tashkent-based clients within 18 months.</w:t>
      </w:r>
    </w:p>
    <w:p>
      <w:pPr>
        <w:numPr>
          <w:ilvl w:val="0"/>
          <w:numId w:val="1007"/>
        </w:numPr>
        <w:pStyle w:val="Compact"/>
      </w:pPr>
      <w:r>
        <w:t xml:space="preserve">90% client retention rate from initial government/private sector contracts in Tashkent (exceeding industry average of 65%).</w:t>
      </w:r>
    </w:p>
    <w:p>
      <w:pPr>
        <w:numPr>
          <w:ilvl w:val="0"/>
          <w:numId w:val="1007"/>
        </w:numPr>
        <w:pStyle w:val="Compact"/>
      </w:pPr>
      <w:r>
        <w:t xml:space="preserve">2,000+ qualified Statistician profiles registered through Uzbekistan-focused outreach by Year 1.</w:t>
      </w:r>
    </w:p>
    <w:p>
      <w:pPr>
        <w:pStyle w:val="FirstParagraph"/>
      </w:pPr>
      <w:r>
        <w:t xml:space="preserve">Success will be measured against Uzbekistan’s national statistical development targets, ensuring alignment with the country’s strategic priorities in Tashkent. This Marketing Plan isn’t just about filling roles—it positions us as essential partners in Uzbekistan’s data revolution, with Tashkent as the epicenter of execution.</w:t>
      </w:r>
    </w:p>
    <w:bookmarkEnd w:id="27"/>
    <w:bookmarkStart w:id="28" w:name="conclusion"/>
    <w:p>
      <w:pPr>
        <w:pStyle w:val="Heading2"/>
      </w:pPr>
      <w:r>
        <w:t xml:space="preserve">Conclusion</w:t>
      </w:r>
    </w:p>
    <w:p>
      <w:pPr>
        <w:pStyle w:val="FirstParagraph"/>
      </w:pPr>
      <w:r>
        <w:t xml:space="preserve">This Marketing Plan delivers a targeted solution to Uzbekistan's Statistician talent shortage, centered on Tashkent's unique economic and governmental landscape. By embedding our services within Uzbekistan’s national digital strategy and leveraging Tashkent’s status as the country’s innovation capital, we create sustainable value for clients while contributing to the nation’s data-driven future. The success of this initiative directly supports Uzbekistan's vision for a modernized economy where Statisticians are central to progress. This is not merely a recruitment service—it is strategic partnership in building Uzbekistan's statistical capacity from Tashkent outward.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Tashkent, Uzbekistan</dc:title>
  <dc:creator/>
  <dc:language>en</dc:language>
  <cp:keywords/>
  <dcterms:created xsi:type="dcterms:W3CDTF">2026-07-23T12:55:20Z</dcterms:created>
  <dcterms:modified xsi:type="dcterms:W3CDTF">2026-07-23T12:55:20Z</dcterms:modified>
</cp:coreProperties>
</file>

<file path=docProps/custom.xml><?xml version="1.0" encoding="utf-8"?>
<Properties xmlns="http://schemas.openxmlformats.org/officeDocument/2006/custom-properties" xmlns:vt="http://schemas.openxmlformats.org/officeDocument/2006/docPropsVTypes"/>
</file>