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Elite</w:t>
      </w:r>
      <w:r>
        <w:t xml:space="preserve"> </w:t>
      </w:r>
      <w:r>
        <w:t xml:space="preserve">Surgeon</w:t>
      </w:r>
      <w:r>
        <w:t xml:space="preserve"> </w:t>
      </w:r>
      <w:r>
        <w:t xml:space="preserve">Clinic</w:t>
      </w:r>
      <w:r>
        <w:t xml:space="preserve"> </w:t>
      </w:r>
      <w:r>
        <w:t xml:space="preserve">Berlin</w:t>
      </w:r>
    </w:p>
    <w:bookmarkStart w:id="33" w:name="X131390359d2bdf65758997673c1168e64845413"/>
    <w:p>
      <w:pPr>
        <w:pStyle w:val="Heading1"/>
      </w:pPr>
      <w:r>
        <w:t xml:space="preserve">Comprehensive Marketing Plan for Elite Surgeon Clinic in Germany Berlin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"Elite Surgeon Clinic" as the premier surgical practice in Germany Berlin. Targeting high-net-worth individuals, corporate executives, and medical tourists seeking specialized care, this plan leverages Berlin's status as a European healthcare hub. Our core proposition combines cutting-edge surgical technology with personalized patient journeys within Germany's rigorous healthcare framework. The strategy focuses on building trust through clinical excellence while positioning our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team as leaders in Berlin's medical landscape.</w:t>
      </w:r>
    </w:p>
    <w:bookmarkEnd w:id="20"/>
    <w:bookmarkStart w:id="21" w:name="market-analysis-germany-berlin-context"/>
    <w:p>
      <w:pPr>
        <w:pStyle w:val="Heading2"/>
      </w:pPr>
      <w:r>
        <w:t xml:space="preserve">Market Analysis: Germany Berlin Context</w:t>
      </w:r>
    </w:p>
    <w:p>
      <w:pPr>
        <w:pStyle w:val="FirstParagraph"/>
      </w:pPr>
      <w:r>
        <w:t xml:space="preserve">Berlin represents a unique market for specialized surgical services. As Germany's capital with 3.7 million residents and 1.5M annual international visitors, it offers both domestic demand and medical tourism opportunities (accounting for €18B annually in Germany).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Berlin has 240+ surgical clinics, but only 7% specialize in minimally invasive procedures – our core competency.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Compliance with German Medical Association (BÄK) standards is non-negotiable. Our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team holds full certification under German healthcare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Expectations:</w:t>
      </w:r>
      <w:r>
        <w:t xml:space="preserve"> </w:t>
      </w:r>
      <w:r>
        <w:t xml:space="preserve">Berlin patients prioritize transparency, shorter waiting times (&lt;5 days vs. city average of 21 days), and multilingual support (78% demand English services).</w:t>
      </w:r>
    </w:p>
    <w:p>
      <w:pPr>
        <w:pStyle w:val="FirstParagraph"/>
      </w:pPr>
      <w:r>
        <w:t xml:space="preserve">This plan directly addresses Berlin's specific needs: integrating seamlessly into Germany's public healthcare system while offering premium private care options.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define three primary segments for our Marketing Plan: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High-Value Domestic Patients:</w:t>
      </w:r>
      <w:r>
        <w:t xml:space="preserve"> </w:t>
      </w:r>
      <w:r>
        <w:t xml:space="preserve">Executives (35-60 years) from Berlin's 1,400+ DAX companies seeking urgent procedures without public system delays. They value discretion and speed.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Tourism Clients:</w:t>
      </w:r>
      <w:r>
        <w:t xml:space="preserve"> </w:t>
      </w:r>
      <w:r>
        <w:t xml:space="preserve">International patients (28% from EU, 35% from Asia) requiring specialized care not available in home countries. Berlin's status as a top medical tourism destination (ranked #3 in Europe) is leveraged.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Referring Physicians:</w:t>
      </w:r>
      <w:r>
        <w:t xml:space="preserve"> </w:t>
      </w:r>
      <w:r>
        <w:t xml:space="preserve">Key decision-makers at Berlin hospitals and private practices who refer complex cases (e.g., Charité, Vivantes). We focus on building physician relationships through evidence-based outcomes reporting.</w:t>
      </w:r>
    </w:p>
    <w:bookmarkEnd w:id="22"/>
    <w:bookmarkStart w:id="23" w:name="marketing-objectives-12-month"/>
    <w:p>
      <w:pPr>
        <w:pStyle w:val="Heading2"/>
      </w:pPr>
      <w:r>
        <w:t xml:space="preserve">Marketing Objectives (12-Month)</w:t>
      </w:r>
    </w:p>
    <w:p>
      <w:pPr>
        <w:numPr>
          <w:ilvl w:val="0"/>
          <w:numId w:val="1003"/>
        </w:numPr>
        <w:pStyle w:val="Compact"/>
      </w:pPr>
      <w:r>
        <w:t xml:space="preserve">Achieve 40% market share among Berlin's private surgical providers within 18 months</w:t>
      </w:r>
    </w:p>
    <w:p>
      <w:pPr>
        <w:numPr>
          <w:ilvl w:val="0"/>
          <w:numId w:val="1003"/>
        </w:numPr>
        <w:pStyle w:val="Compact"/>
      </w:pPr>
      <w:r>
        <w:t xml:space="preserve">Generate 150+ qualified leads/month from target segments</w:t>
      </w:r>
    </w:p>
    <w:p>
      <w:pPr>
        <w:numPr>
          <w:ilvl w:val="0"/>
          <w:numId w:val="1003"/>
        </w:numPr>
        <w:pStyle w:val="Compact"/>
      </w:pPr>
      <w:r>
        <w:t xml:space="preserve">Attain 92% patient satisfaction score (exceeding Berlin average of 86%)</w:t>
      </w:r>
    </w:p>
    <w:p>
      <w:pPr>
        <w:numPr>
          <w:ilvl w:val="0"/>
          <w:numId w:val="1003"/>
        </w:numPr>
        <w:pStyle w:val="Compact"/>
      </w:pPr>
      <w:r>
        <w:t xml:space="preserve">Secure partnerships with 3 major Berlin-based corporate health insurers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4" w:name="X6087d94fd5733899ae5db8a7719d7a63939a7fc"/>
    <w:p>
      <w:pPr>
        <w:pStyle w:val="Heading3"/>
      </w:pPr>
      <w:r>
        <w:t xml:space="preserve">1. Digital Presence Optimization (Germany Berlin Focus)</w:t>
      </w:r>
    </w:p>
    <w:p>
      <w:pPr>
        <w:pStyle w:val="FirstParagraph"/>
      </w:pPr>
      <w:r>
        <w:t xml:space="preserve">We will develop a multilingual digital hub optimized for German search behavior: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SEO Strategy:</w:t>
      </w:r>
      <w:r>
        <w:t xml:space="preserve"> </w:t>
      </w:r>
      <w:r>
        <w:t xml:space="preserve">Target keywords like "laparoscopic surgeon Berlin" (search volume: 870/mo) and "private surgery Germany" using Google Ads and local schema markup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Virtual Tour:</w:t>
      </w:r>
      <w:r>
        <w:t xml:space="preserve"> </w:t>
      </w:r>
      <w:r>
        <w:t xml:space="preserve">360° clinic tour showcasing our state-of-the-art operating theaters, all within Berlin's central location (Mitte district)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Healthcare Compliance:</w:t>
      </w:r>
      <w:r>
        <w:t xml:space="preserve"> </w:t>
      </w:r>
      <w:r>
        <w:t xml:space="preserve">All content certified by BÄK-approved medical writers to ensure regulatory alignment with Germany standards</w:t>
      </w:r>
    </w:p>
    <w:bookmarkEnd w:id="24"/>
    <w:bookmarkStart w:id="25" w:name="physician-partnership-program"/>
    <w:p>
      <w:pPr>
        <w:pStyle w:val="Heading3"/>
      </w:pPr>
      <w:r>
        <w:t xml:space="preserve">2. Physician Partnership Program</w:t>
      </w:r>
    </w:p>
    <w:p>
      <w:pPr>
        <w:pStyle w:val="FirstParagraph"/>
      </w:pPr>
      <w:r>
        <w:t xml:space="preserve">Leveraging Berlin's collaborative medical ecosystem, we implement: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Network:</w:t>
      </w:r>
      <w:r>
        <w:t xml:space="preserve"> </w:t>
      </w:r>
      <w:r>
        <w:t xml:space="preserve">Dedicated "Physician Concierge" offering same-day case coordination for Charité hospital specialists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Evidence-Based Materials:</w:t>
      </w:r>
      <w:r>
        <w:t xml:space="preserve"> </w:t>
      </w:r>
      <w:r>
        <w:t xml:space="preserve">Quarterly surgical outcome reports benchmarked against Berlin-wide averages (e.g., "Our joint replacement success rate: 98.7% vs. Berlin avg. 95.2%")</w:t>
      </w:r>
    </w:p>
    <w:bookmarkEnd w:id="25"/>
    <w:bookmarkStart w:id="26" w:name="premium-patient-experience-marketing"/>
    <w:p>
      <w:pPr>
        <w:pStyle w:val="Heading3"/>
      </w:pPr>
      <w:r>
        <w:t xml:space="preserve">3. Premium Patient Experience Marketing</w:t>
      </w:r>
    </w:p>
    <w:p>
      <w:pPr>
        <w:pStyle w:val="FirstParagraph"/>
      </w:pPr>
      <w:r>
        <w:t xml:space="preserve">Positioning our Surgeon as the preferred choice for discerning Berlin patients: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Personalized Journey:</w:t>
      </w:r>
      <w:r>
        <w:t xml:space="preserve"> </w:t>
      </w:r>
      <w:r>
        <w:t xml:space="preserve">"Surgeon-to-Patient" WhatsApp support with 24/7 multilingual access (German, English, Russian)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Sponsorship of Berlin Heart Foundation events and free preventive screenings at Tiergarten Park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Premium Content:</w:t>
      </w:r>
      <w:r>
        <w:t xml:space="preserve"> </w:t>
      </w:r>
      <w:r>
        <w:t xml:space="preserve">"Berlin Health Insights" podcast featuring our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team discussing German healthcare innovations</w:t>
      </w:r>
    </w:p>
    <w:bookmarkEnd w:id="26"/>
    <w:bookmarkStart w:id="27" w:name="Xe515d106ed04854bc93c9d77789f2e3cf0c35f5"/>
    <w:p>
      <w:pPr>
        <w:pStyle w:val="Heading3"/>
      </w:pPr>
      <w:r>
        <w:t xml:space="preserve">4. Medical Tourism Acceleration (Germany Berlin Advantage)</w:t>
      </w:r>
    </w:p>
    <w:p>
      <w:pPr>
        <w:pStyle w:val="FirstParagraph"/>
      </w:pPr>
      <w:r>
        <w:t xml:space="preserve">Tailored to international patients: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"Berlin Surgery Guarantee":</w:t>
      </w:r>
      <w:r>
        <w:t xml:space="preserve"> </w:t>
      </w:r>
      <w:r>
        <w:t xml:space="preserve">All-inclusive packages covering airport transfer, hotel, and aftercare with 90-day satisfaction warranty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Visa Assistance Partnership:</w:t>
      </w:r>
      <w:r>
        <w:t xml:space="preserve"> </w:t>
      </w:r>
      <w:r>
        <w:t xml:space="preserve">Collaboration with Berlin Chamber of Commerce for streamlined medical visas</w:t>
      </w:r>
    </w:p>
    <w:bookmarkEnd w:id="27"/>
    <w:bookmarkEnd w:id="28"/>
    <w:bookmarkStart w:id="29" w:name="budget-allocation-350000-year-1"/>
    <w:p>
      <w:pPr>
        <w:pStyle w:val="Heading2"/>
      </w:pPr>
      <w:r>
        <w:t xml:space="preserve">Budget Allocation (€350,000 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(SEO/SEM)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Berlin's high digital adoption rate among target audience (78% research online before choosing surgeon)</w:t>
      </w:r>
    </w:p>
    <w:p>
      <w:pPr>
        <w:pStyle w:val="BodyText"/>
      </w:pPr>
      <w:r>
        <w:t xml:space="preserve">Physician Relations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Building referral pipelines is critical for Berlin's medical ecosystem</w:t>
      </w:r>
    </w:p>
    <w:p>
      <w:pPr>
        <w:pStyle w:val="BodyText"/>
      </w:pPr>
      <w:r>
        <w:t xml:space="preserve">Premium Patient Experience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Luxury touches differentiate from standard Berlin clinics (e.g., private clinic transport)</w:t>
      </w:r>
    </w:p>
    <w:p>
      <w:pPr>
        <w:pStyle w:val="BodyText"/>
      </w:pPr>
      <w:r>
        <w:t xml:space="preserve">Medical Tourism Campaigns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Tapping into Berlin's 23% year-on-year medical tourism growth</w:t>
      </w:r>
    </w:p>
    <w:bookmarkEnd w:id="29"/>
    <w:bookmarkStart w:id="30" w:name="implementation-timeline-q1-q4-2024"/>
    <w:p>
      <w:pPr>
        <w:pStyle w:val="Heading2"/>
      </w:pPr>
      <w:r>
        <w:t xml:space="preserve">Implementation Timeline (Q1-Q4 2024)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Q1:</w:t>
      </w:r>
      <w:r>
        <w:t xml:space="preserve"> </w:t>
      </w:r>
      <w:r>
        <w:t xml:space="preserve">Finalize regulatory compliance, launch multilingual website with Berlin-specific content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Q2:</w:t>
      </w:r>
      <w:r>
        <w:t xml:space="preserve"> </w:t>
      </w:r>
      <w:r>
        <w:t xml:space="preserve">Initiate physician outreach program; secure first 3 corporate health insurance partnerships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Q3:</w:t>
      </w:r>
      <w:r>
        <w:t xml:space="preserve"> </w:t>
      </w:r>
      <w:r>
        <w:t xml:space="preserve">Deploy medical tourism packages; launch "Berlin Health Insights" podcast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Q4:</w:t>
      </w:r>
      <w:r>
        <w:t xml:space="preserve"> </w:t>
      </w:r>
      <w:r>
        <w:t xml:space="preserve">Analyze Year 1 metrics; implement AI-driven patient journey optimization based on Berlin-specific feedback</w:t>
      </w:r>
    </w:p>
    <w:bookmarkEnd w:id="30"/>
    <w:bookmarkStart w:id="31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KPIs aligned with Germany Berlin's healthcare context: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% of leads converting to appointments (Target: 35%+)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Patient Acquisition Cost (PAC):</w:t>
      </w:r>
      <w:r>
        <w:t xml:space="preserve"> </w:t>
      </w:r>
      <w:r>
        <w:t xml:space="preserve">Benchmark against Berlin industry average (€1,200; Target: €850)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Monitor German social media (LinkedIn, Facebook Germany) for "Surgeon" mentions using Brandwatch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Regulatory Compliance Score:</w:t>
      </w:r>
      <w:r>
        <w:t xml:space="preserve"> </w:t>
      </w:r>
      <w:r>
        <w:t xml:space="preserve">100% adherence to BÄK guidelines in all marketing materials</w:t>
      </w:r>
    </w:p>
    <w:bookmarkEnd w:id="31"/>
    <w:bookmarkStart w:id="32" w:name="X78a61116e0a7f04f76acdcac6245d69c47166ee"/>
    <w:p>
      <w:pPr>
        <w:pStyle w:val="Heading2"/>
      </w:pPr>
      <w:r>
        <w:t xml:space="preserve">Conclusion: Why This Marketing Plan Works for Germany Berlin</w:t>
      </w:r>
    </w:p>
    <w:p>
      <w:pPr>
        <w:pStyle w:val="FirstParagraph"/>
      </w:pPr>
      <w:r>
        <w:t xml:space="preserve">This Marketing Plan transcends generic tactics by embedding itself in Berlin's unique healthcare identity. By positioning our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team as integral to Germany's medical excellence, we address Berlin-specific pain points: navigating complex public health systems while delivering private care speed. The plan respects German regulatory rigor while meeting the city's demand for personalized, high-tech solutions. As Berlin solidifies its position as Europe's surgical innovation hub (backed by €240M in 2023 healthcare tech investments), this Marketing Plan ensures "Elite Surgeon Clinic" becomes synonymous with trusted, world-class care within Germany Berlin – not just another clinic in the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Elite Surgeon Clinic Berlin</dc:title>
  <dc:creator/>
  <dc:language>en</dc:language>
  <cp:keywords/>
  <dcterms:created xsi:type="dcterms:W3CDTF">2026-07-22T00:14:17Z</dcterms:created>
  <dcterms:modified xsi:type="dcterms:W3CDTF">2026-07-22T00:14:17Z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