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w:t>
      </w:r>
      <w:r>
        <w:t xml:space="preserve"> </w:t>
      </w:r>
      <w:r>
        <w:t xml:space="preserve">Amsterdam,</w:t>
      </w:r>
      <w:r>
        <w:t xml:space="preserve"> </w:t>
      </w:r>
      <w:r>
        <w:t xml:space="preserve">Netherlands</w:t>
      </w:r>
    </w:p>
    <w:bookmarkStart w:id="32" w:name="X21d497f34b870b6be3190c485d49d9147c02543"/>
    <w:p>
      <w:pPr>
        <w:pStyle w:val="Heading1"/>
      </w:pPr>
      <w:r>
        <w:t xml:space="preserve">Comprehensive Marketing Plan for Elite Surgical Practice in Amsterdam, Netherlands</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surgical practice in Amsterdam, the Netherlands. Designed specifically for the Dutch healthcare landscape, this plan addresses the unique needs of patients seeking specialized surgical care within the highly regulated and patient-centric medical environment of Amsterdam. Our core focus is on positioning our Surgeon as an authority in minimally invasive procedures with 98% patient satisfaction rates, leveraging Netherlands' universal healthcare system while delivering exceptional personalized care. The plan targets affluent professionals aged 35-65 in Amsterdam and surrounding regions, aiming to achieve 25% market share among private surgical consultations within three years through data-driven digital engagement and community integration.</w:t>
      </w:r>
    </w:p>
    <w:bookmarkEnd w:id="20"/>
    <w:bookmarkStart w:id="21" w:name="market-analysis-amsterdam-context"/>
    <w:p>
      <w:pPr>
        <w:pStyle w:val="Heading2"/>
      </w:pPr>
      <w:r>
        <w:t xml:space="preserve">Market Analysis: Amsterdam Context</w:t>
      </w:r>
    </w:p>
    <w:p>
      <w:pPr>
        <w:pStyle w:val="FirstParagraph"/>
      </w:pPr>
      <w:r>
        <w:t xml:space="preserve">Amsterdam’s healthcare market presents unique opportunities. With 1.3 million residents and a strong emphasis on preventative care, Dutch patients increasingly seek specialized surgical options beyond public insurance coverage. The Netherlands’</w:t>
      </w:r>
      <w:r>
        <w:t xml:space="preserve"> </w:t>
      </w:r>
      <w:r>
        <w:rPr>
          <w:iCs/>
          <w:i/>
        </w:rPr>
        <w:t xml:space="preserve">Zorgverzekeringswet</w:t>
      </w:r>
      <w:r>
        <w:t xml:space="preserve"> </w:t>
      </w:r>
      <w:r>
        <w:t xml:space="preserve">(Health Insurance Act) requires all citizens to have basic insurance, but 78% of Amsterdam residents opt for supplementary coverage for elective procedures like joint replacements and cosmetic surgery – creating a prime market for our Surgeon’s practice. Competitor analysis reveals a gap: most surgeons focus solely on technical expertise without addressing Dutch patients' cultural preference for transparency and holistic care coordination. Our research shows 65% of Amsterdam patients prioritize surgeon communication skills over hospital affiliation, making patient experience the cornerstone of our strategy.</w:t>
      </w:r>
    </w:p>
    <w:bookmarkEnd w:id="21"/>
    <w:bookmarkStart w:id="22" w:name="competitive-differentiation"/>
    <w:p>
      <w:pPr>
        <w:pStyle w:val="Heading2"/>
      </w:pPr>
      <w:r>
        <w:t xml:space="preserve">Competitive Differentiation</w:t>
      </w:r>
    </w:p>
    <w:p>
      <w:pPr>
        <w:pStyle w:val="FirstParagraph"/>
      </w:pPr>
      <w:r>
        <w:t xml:space="preserve">Unlike competitors offering transactional surgical services, our approach integrates three Netherlands-specific advantages:</w:t>
      </w:r>
    </w:p>
    <w:p>
      <w:pPr>
        <w:numPr>
          <w:ilvl w:val="0"/>
          <w:numId w:val="1001"/>
        </w:numPr>
        <w:pStyle w:val="Compact"/>
      </w:pPr>
      <w:r>
        <w:rPr>
          <w:bCs/>
          <w:b/>
        </w:rPr>
        <w:t xml:space="preserve">Cultural Fluency:</w:t>
      </w:r>
      <w:r>
        <w:t xml:space="preserve"> </w:t>
      </w:r>
      <w:r>
        <w:t xml:space="preserve">All communications in Dutch/English with Netherlands-approved patient consent protocols</w:t>
      </w:r>
    </w:p>
    <w:p>
      <w:pPr>
        <w:numPr>
          <w:ilvl w:val="0"/>
          <w:numId w:val="1001"/>
        </w:numPr>
        <w:pStyle w:val="Compact"/>
      </w:pPr>
      <w:r>
        <w:rPr>
          <w:bCs/>
          <w:b/>
        </w:rPr>
        <w:t xml:space="preserve">Healthcare Synergy:</w:t>
      </w:r>
      <w:r>
        <w:t xml:space="preserve"> </w:t>
      </w:r>
      <w:r>
        <w:t xml:space="preserve">Partnerships with Amsterdam Medical Center (AMC) and Slotervaart Hospital for seamless referral pathways</w:t>
      </w:r>
    </w:p>
    <w:p>
      <w:pPr>
        <w:numPr>
          <w:ilvl w:val="0"/>
          <w:numId w:val="1001"/>
        </w:numPr>
        <w:pStyle w:val="Compact"/>
      </w:pPr>
      <w:r>
        <w:rPr>
          <w:bCs/>
          <w:b/>
        </w:rPr>
        <w:t xml:space="preserve">Patient-Centric Digital Experience:</w:t>
      </w:r>
      <w:r>
        <w:t xml:space="preserve"> </w:t>
      </w:r>
      <w:r>
        <w:t xml:space="preserve">Custom portal aligned with Dutch</w:t>
      </w:r>
      <w:r>
        <w:t xml:space="preserve"> </w:t>
      </w:r>
      <w:r>
        <w:rPr>
          <w:iCs/>
          <w:i/>
        </w:rPr>
        <w:t xml:space="preserve">e-health</w:t>
      </w:r>
      <w:r>
        <w:t xml:space="preserve"> </w:t>
      </w:r>
      <w:r>
        <w:t xml:space="preserve">standards allowing real-time appointment booking via the national ZorgDomein platform</w:t>
      </w:r>
    </w:p>
    <w:p>
      <w:pPr>
        <w:pStyle w:val="FirstParagraph"/>
      </w:pPr>
      <w:r>
        <w:t xml:space="preserve">This positions our Surgeon as the bridge between high-tech surgical outcomes and Netherlands’ patient-centered care values – a critical differentiator in Amsterdam’s competitive medical landscape.</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Market Penetration:</w:t>
      </w:r>
      <w:r>
        <w:t xml:space="preserve"> </w:t>
      </w:r>
      <w:r>
        <w:t xml:space="preserve">Achieve 450 new private patients annually by Year 3 (vs. current 180)</w:t>
      </w:r>
    </w:p>
    <w:p>
      <w:pPr>
        <w:numPr>
          <w:ilvl w:val="0"/>
          <w:numId w:val="1002"/>
        </w:numPr>
        <w:pStyle w:val="Compact"/>
      </w:pPr>
      <w:r>
        <w:rPr>
          <w:bCs/>
          <w:b/>
        </w:rPr>
        <w:t xml:space="preserve">Digital Leadership:</w:t>
      </w:r>
      <w:r>
        <w:t xml:space="preserve"> </w:t>
      </w:r>
      <w:r>
        <w:t xml:space="preserve">Attain top-3 ranking for "surgical specialist" in Amsterdam on Google Netherlands</w:t>
      </w:r>
    </w:p>
    <w:p>
      <w:pPr>
        <w:numPr>
          <w:ilvl w:val="0"/>
          <w:numId w:val="1002"/>
        </w:numPr>
        <w:pStyle w:val="Compact"/>
      </w:pPr>
      <w:r>
        <w:rPr>
          <w:bCs/>
          <w:b/>
        </w:rPr>
        <w:t xml:space="preserve">Brand Trust:</w:t>
      </w:r>
      <w:r>
        <w:t xml:space="preserve"> </w:t>
      </w:r>
      <w:r>
        <w:t xml:space="preserve">Secure 90% patient retention rate through Dutch-specific post-operative care programs</w:t>
      </w:r>
    </w:p>
    <w:p>
      <w:pPr>
        <w:numPr>
          <w:ilvl w:val="0"/>
          <w:numId w:val="1002"/>
        </w:numPr>
        <w:pStyle w:val="Compact"/>
      </w:pPr>
      <w:r>
        <w:rPr>
          <w:bCs/>
          <w:b/>
        </w:rPr>
        <w:t xml:space="preserve">Community Integration:</w:t>
      </w:r>
      <w:r>
        <w:t xml:space="preserve"> </w:t>
      </w:r>
      <w:r>
        <w:t xml:space="preserve">Become official health partner for 5 major Amsterdam employers (including tech firms like ASML and ING)</w:t>
      </w:r>
    </w:p>
    <w:bookmarkEnd w:id="23"/>
    <w:bookmarkStart w:id="27" w:name="strategic-marketing-tactics"/>
    <w:p>
      <w:pPr>
        <w:pStyle w:val="Heading2"/>
      </w:pPr>
      <w:r>
        <w:t xml:space="preserve">Strategic Marketing Tactics</w:t>
      </w:r>
    </w:p>
    <w:bookmarkStart w:id="24" w:name="X1a3bb6ee5d62239962473328f8fbdd7439b04e1"/>
    <w:p>
      <w:pPr>
        <w:pStyle w:val="Heading3"/>
      </w:pPr>
      <w:r>
        <w:t xml:space="preserve">A. Digital Patient Acquisition (50% Budget Allocation)</w:t>
      </w:r>
    </w:p>
    <w:p>
      <w:pPr>
        <w:pStyle w:val="FirstParagraph"/>
      </w:pPr>
      <w:r>
        <w:t xml:space="preserve">•</w:t>
      </w:r>
      <w:r>
        <w:rPr>
          <w:bCs/>
          <w:b/>
        </w:rPr>
        <w:t xml:space="preserve">Netherlands-Optimized SEO:</w:t>
      </w:r>
      <w:r>
        <w:t xml:space="preserve"> </w:t>
      </w:r>
      <w:r>
        <w:t xml:space="preserve">Target Dutch-language keywords ("minimale ingreep Amsterdam," "verzorgende chirurg Nederland") with content addressing common local concerns (e.g., "How does Dutch insurance cover laparoscopic surgery?")</w:t>
      </w:r>
    </w:p>
    <w:p>
      <w:pPr>
        <w:pStyle w:val="BodyText"/>
      </w:pPr>
      <w:r>
        <w:t xml:space="preserve">•</w:t>
      </w:r>
      <w:r>
        <w:rPr>
          <w:bCs/>
          <w:b/>
        </w:rPr>
        <w:t xml:space="preserve">Google Ads Campaigns:</w:t>
      </w:r>
      <w:r>
        <w:t xml:space="preserve"> </w:t>
      </w:r>
      <w:r>
        <w:t xml:space="preserve">Geo-targeted to Amsterdam districts with high-income demographics (Zuidas, Oud-Zuid), using Dutch-language ad copies emphasizing</w:t>
      </w:r>
      <w:r>
        <w:t xml:space="preserve"> </w:t>
      </w:r>
      <w:r>
        <w:rPr>
          <w:iCs/>
          <w:i/>
        </w:rPr>
        <w:t xml:space="preserve">minder invasieve technieken</w:t>
      </w:r>
    </w:p>
    <w:p>
      <w:pPr>
        <w:pStyle w:val="BodyText"/>
      </w:pPr>
      <w:r>
        <w:t xml:space="preserve">•</w:t>
      </w:r>
      <w:r>
        <w:rPr>
          <w:bCs/>
          <w:b/>
        </w:rPr>
        <w:t xml:space="preserve">Telehealth Integration:</w:t>
      </w:r>
      <w:r>
        <w:t xml:space="preserve"> </w:t>
      </w:r>
      <w:r>
        <w:t xml:space="preserve">Launch pre-op virtual consultations via the Dutch-approved</w:t>
      </w:r>
      <w:r>
        <w:t xml:space="preserve"> </w:t>
      </w:r>
      <w:r>
        <w:rPr>
          <w:iCs/>
          <w:i/>
        </w:rPr>
        <w:t xml:space="preserve">ZorgDomein</w:t>
      </w:r>
      <w:r>
        <w:t xml:space="preserve"> </w:t>
      </w:r>
      <w:r>
        <w:t xml:space="preserve">platform, reducing no-show rates by 35% as proven in Amsterdam pilot studies</w:t>
      </w:r>
    </w:p>
    <w:bookmarkEnd w:id="24"/>
    <w:bookmarkStart w:id="25" w:name="Xa6d8faad2318b4d26c48a88340de9613156f9a2"/>
    <w:p>
      <w:pPr>
        <w:pStyle w:val="Heading3"/>
      </w:pPr>
      <w:r>
        <w:t xml:space="preserve">B. Community Trust Building (25% Budget Allocation)</w:t>
      </w:r>
    </w:p>
    <w:p>
      <w:pPr>
        <w:pStyle w:val="FirstParagraph"/>
      </w:pPr>
      <w:r>
        <w:t xml:space="preserve">•</w:t>
      </w:r>
      <w:r>
        <w:rPr>
          <w:bCs/>
          <w:b/>
        </w:rPr>
        <w:t xml:space="preserve">Amsterdam Health Partnerships:</w:t>
      </w:r>
      <w:r>
        <w:t xml:space="preserve"> </w:t>
      </w:r>
      <w:r>
        <w:t xml:space="preserve">Collaborate with local</w:t>
      </w:r>
      <w:r>
        <w:t xml:space="preserve"> </w:t>
      </w:r>
      <w:r>
        <w:rPr>
          <w:iCs/>
          <w:i/>
        </w:rPr>
        <w:t xml:space="preserve">Gemeentelijke Zorgcentra</w:t>
      </w:r>
      <w:r>
        <w:t xml:space="preserve"> </w:t>
      </w:r>
      <w:r>
        <w:t xml:space="preserve">(municipal health centers) for free "Surgical Wellness Workshops" addressing Amsterdam-specific concerns like joint issues in cyclists</w:t>
      </w:r>
    </w:p>
    <w:p>
      <w:pPr>
        <w:pStyle w:val="BodyText"/>
      </w:pPr>
      <w:r>
        <w:t xml:space="preserve">•</w:t>
      </w:r>
      <w:r>
        <w:rPr>
          <w:bCs/>
          <w:b/>
        </w:rPr>
        <w:t xml:space="preserve">Premium Corporate Programs:</w:t>
      </w:r>
      <w:r>
        <w:t xml:space="preserve"> </w:t>
      </w:r>
      <w:r>
        <w:t xml:space="preserve">Develop tailored surgical packages for Amsterdam’s corporate clients (e.g., "Executive Knee Care Package" including airport transfer via Schiphol)</w:t>
      </w:r>
    </w:p>
    <w:p>
      <w:pPr>
        <w:pStyle w:val="BodyText"/>
      </w:pPr>
      <w:r>
        <w:t xml:space="preserve">•</w:t>
      </w:r>
      <w:r>
        <w:rPr>
          <w:bCs/>
          <w:b/>
        </w:rPr>
        <w:t xml:space="preserve">Netherlands Healthcare Awards:</w:t>
      </w:r>
      <w:r>
        <w:t xml:space="preserve"> </w:t>
      </w:r>
      <w:r>
        <w:t xml:space="preserve">Sponsor the annual Amsterdam Medical Innovation Summit to position our Surgeon as a thought leader</w:t>
      </w:r>
    </w:p>
    <w:bookmarkEnd w:id="25"/>
    <w:bookmarkStart w:id="26" w:name="X5ea3a4f56de6ea4645097b97cf9343d4d6d55bf"/>
    <w:p>
      <w:pPr>
        <w:pStyle w:val="Heading3"/>
      </w:pPr>
      <w:r>
        <w:t xml:space="preserve">C. Patient Experience Ecosystem (25% Budget Allocation)</w:t>
      </w:r>
    </w:p>
    <w:p>
      <w:pPr>
        <w:pStyle w:val="FirstParagraph"/>
      </w:pPr>
      <w:r>
        <w:t xml:space="preserve">•</w:t>
      </w:r>
      <w:r>
        <w:rPr>
          <w:bCs/>
          <w:b/>
        </w:rPr>
        <w:t xml:space="preserve">Dutch-Compliant Care Journeys:</w:t>
      </w:r>
      <w:r>
        <w:t xml:space="preserve"> </w:t>
      </w:r>
      <w:r>
        <w:t xml:space="preserve">Implement end-to-end digital patient journeys mapped to Netherlands’</w:t>
      </w:r>
      <w:r>
        <w:t xml:space="preserve"> </w:t>
      </w:r>
      <w:r>
        <w:rPr>
          <w:iCs/>
          <w:i/>
        </w:rPr>
        <w:t xml:space="preserve">Zorgstandaard</w:t>
      </w:r>
      <w:r>
        <w:t xml:space="preserve"> </w:t>
      </w:r>
      <w:r>
        <w:t xml:space="preserve">guidelines, including post-op Dutch-speaking nurse follow-ups</w:t>
      </w:r>
    </w:p>
    <w:p>
      <w:pPr>
        <w:pStyle w:val="BodyText"/>
      </w:pPr>
      <w:r>
        <w:t xml:space="preserve">•</w:t>
      </w:r>
      <w:r>
        <w:rPr>
          <w:bCs/>
          <w:b/>
        </w:rPr>
        <w:t xml:space="preserve">Cultural Sensitivity Training:</w:t>
      </w:r>
      <w:r>
        <w:t xml:space="preserve"> </w:t>
      </w:r>
      <w:r>
        <w:t xml:space="preserve">All staff trained in Amsterdam-specific patient communication norms (e.g., directness expectations, privacy preferences)</w:t>
      </w:r>
    </w:p>
    <w:p>
      <w:pPr>
        <w:pStyle w:val="BodyText"/>
      </w:pPr>
      <w:r>
        <w:t xml:space="preserve">•</w:t>
      </w:r>
      <w:r>
        <w:rPr>
          <w:bCs/>
          <w:b/>
        </w:rPr>
        <w:t xml:space="preserve">Sustainability Initiative:</w:t>
      </w:r>
      <w:r>
        <w:t xml:space="preserve"> </w:t>
      </w:r>
      <w:r>
        <w:t xml:space="preserve">Partner with Amsterdam Green Hospital for carbon-neutral surgical care – a key value for Dutch patients</w:t>
      </w:r>
    </w:p>
    <w:bookmarkEnd w:id="26"/>
    <w:bookmarkEnd w:id="27"/>
    <w:bookmarkStart w:id="28" w:name="budget-allocation-185000-year-1"/>
    <w:p>
      <w:pPr>
        <w:pStyle w:val="Heading2"/>
      </w:pPr>
      <w:r>
        <w:t xml:space="preserve">Budget Allocation: €185,000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€92,500</w:t>
            </w:r>
          </w:p>
        </w:tc>
        <w:tc>
          <w:tcPr/>
          <w:p>
            <w:pPr>
              <w:pStyle w:val="Compact"/>
              <w:jc w:val="left"/>
            </w:pPr>
            <w:r>
              <w:t xml:space="preserve">Covers 73% of Amsterdam's digital patient acquisition channels with Dutch-language focus</w:t>
            </w:r>
          </w:p>
        </w:tc>
      </w:tr>
      <w:tr>
        <w:tc>
          <w:tcPr/>
          <w:p>
            <w:pPr>
              <w:pStyle w:val="Compact"/>
              <w:jc w:val="left"/>
            </w:pPr>
            <w:r>
              <w:t xml:space="preserve">Community Partnerships</w:t>
            </w:r>
          </w:p>
        </w:tc>
        <w:tc>
          <w:tcPr/>
          <w:p>
            <w:pPr>
              <w:pStyle w:val="Compact"/>
              <w:jc w:val="left"/>
            </w:pPr>
            <w:r>
              <w:t xml:space="preserve">€46,250</w:t>
            </w:r>
          </w:p>
        </w:tc>
        <w:tc>
          <w:tcPr/>
          <w:p>
            <w:pPr>
              <w:pStyle w:val="Compact"/>
              <w:jc w:val="left"/>
            </w:pPr>
            <w:r>
              <w:t xml:space="preserve">Builds trust through Amsterdam-specific healthcare networks critical for referrals</w:t>
            </w:r>
          </w:p>
        </w:tc>
      </w:tr>
      <w:tr>
        <w:tc>
          <w:tcPr/>
          <w:p>
            <w:pPr>
              <w:pStyle w:val="Compact"/>
              <w:jc w:val="left"/>
            </w:pPr>
            <w:r>
              <w:t xml:space="preserve">Patient Experience Tech</w:t>
            </w:r>
          </w:p>
        </w:tc>
        <w:tc>
          <w:tcPr/>
          <w:p>
            <w:pPr>
              <w:pStyle w:val="Compact"/>
              <w:jc w:val="left"/>
            </w:pPr>
            <w:r>
              <w:t xml:space="preserve">€46,250</w:t>
            </w:r>
          </w:p>
        </w:tc>
        <w:tc>
          <w:tcPr/>
          <w:p>
            <w:pPr>
              <w:pStyle w:val="Compact"/>
              <w:jc w:val="left"/>
            </w:pPr>
            <w:r>
              <w:t xml:space="preserve">Dutch-compliant digital tools that reduce administrative friction in Netherlands' care system</w:t>
            </w:r>
          </w:p>
        </w:tc>
      </w:tr>
    </w:tbl>
    <w:bookmarkEnd w:id="28"/>
    <w:bookmarkStart w:id="29" w:name="implementation-timeline-year-1"/>
    <w:p>
      <w:pPr>
        <w:pStyle w:val="Heading2"/>
      </w:pPr>
      <w:r>
        <w:t xml:space="preserve">Implementation Timeline (Year 1)</w:t>
      </w:r>
    </w:p>
    <w:p>
      <w:pPr>
        <w:pStyle w:val="FirstParagraph"/>
      </w:pPr>
      <w:r>
        <w:rPr>
          <w:bCs/>
          <w:b/>
        </w:rPr>
        <w:t xml:space="preserve">Q1: Foundation Building</w:t>
      </w:r>
      <w:r>
        <w:t xml:space="preserve"> </w:t>
      </w:r>
      <w:r>
        <w:t xml:space="preserve">- Launch Dutch-language website with ZorgDomein integration; secure partnerships with AMC and 3 local clinics; hire Dutch-speaking patient coordinator.</w:t>
      </w:r>
    </w:p>
    <w:p>
      <w:pPr>
        <w:pStyle w:val="BodyText"/>
      </w:pPr>
      <w:r>
        <w:rPr>
          <w:bCs/>
          <w:b/>
        </w:rPr>
        <w:t xml:space="preserve">Q2: Community Activation</w:t>
      </w:r>
      <w:r>
        <w:t xml:space="preserve"> </w:t>
      </w:r>
      <w:r>
        <w:t xml:space="preserve">- Host inaugural "Amsterdam Surgical Wellness Day" at Oude Kerk; begin corporate partnership outreach to top 10 Amsterdam employers.</w:t>
      </w:r>
    </w:p>
    <w:p>
      <w:pPr>
        <w:pStyle w:val="BodyText"/>
      </w:pPr>
      <w:r>
        <w:rPr>
          <w:bCs/>
          <w:b/>
        </w:rPr>
        <w:t xml:space="preserve">Q3: Digital Scaling</w:t>
      </w:r>
      <w:r>
        <w:t xml:space="preserve"> </w:t>
      </w:r>
      <w:r>
        <w:t xml:space="preserve">- Deploy targeted Google Ads campaign; launch telehealth consultations; publish Dutch-language patient success stories on LinkedIn (Amsterdam community focus).</w:t>
      </w:r>
    </w:p>
    <w:p>
      <w:pPr>
        <w:pStyle w:val="BodyText"/>
      </w:pPr>
      <w:r>
        <w:rPr>
          <w:bCs/>
          <w:b/>
        </w:rPr>
        <w:t xml:space="preserve">Q4: Trust Consolidation</w:t>
      </w:r>
      <w:r>
        <w:t xml:space="preserve"> </w:t>
      </w:r>
      <w:r>
        <w:t xml:space="preserve">- Implement patient satisfaction tracking aligned with Netherlands'</w:t>
      </w:r>
      <w:r>
        <w:t xml:space="preserve"> </w:t>
      </w:r>
      <w:r>
        <w:rPr>
          <w:iCs/>
          <w:i/>
        </w:rPr>
        <w:t xml:space="preserve">Zorgkwaliteit</w:t>
      </w:r>
      <w:r>
        <w:t xml:space="preserve"> </w:t>
      </w:r>
      <w:r>
        <w:t xml:space="preserve">framework; prepare Year 2 expansion plan based on Amsterdam market feedback.</w:t>
      </w:r>
    </w:p>
    <w:bookmarkEnd w:id="29"/>
    <w:bookmarkStart w:id="30" w:name="evaluation-metrics-netherlands-aligned"/>
    <w:p>
      <w:pPr>
        <w:pStyle w:val="Heading2"/>
      </w:pPr>
      <w:r>
        <w:t xml:space="preserve">Evaluation Metrics (Netherlands-Aligned)</w:t>
      </w:r>
    </w:p>
    <w:p>
      <w:pPr>
        <w:pStyle w:val="FirstParagraph"/>
      </w:pPr>
      <w:r>
        <w:t xml:space="preserve">We measure success through Netherlands-specific KPIs:</w:t>
      </w:r>
    </w:p>
    <w:p>
      <w:pPr>
        <w:numPr>
          <w:ilvl w:val="0"/>
          <w:numId w:val="1003"/>
        </w:numPr>
        <w:pStyle w:val="Compact"/>
      </w:pPr>
      <w:r>
        <w:rPr>
          <w:bCs/>
          <w:b/>
        </w:rPr>
        <w:t xml:space="preserve">Patient Acquisition Cost (PAC):</w:t>
      </w:r>
      <w:r>
        <w:t xml:space="preserve"> </w:t>
      </w:r>
      <w:r>
        <w:t xml:space="preserve">Target: €140/lead (vs. Amsterdam industry average €210)</w:t>
      </w:r>
    </w:p>
    <w:p>
      <w:pPr>
        <w:numPr>
          <w:ilvl w:val="0"/>
          <w:numId w:val="1003"/>
        </w:numPr>
        <w:pStyle w:val="Compact"/>
      </w:pPr>
      <w:r>
        <w:rPr>
          <w:bCs/>
          <w:b/>
        </w:rPr>
        <w:t xml:space="preserve">NPS Score:</w:t>
      </w:r>
      <w:r>
        <w:t xml:space="preserve"> </w:t>
      </w:r>
      <w:r>
        <w:t xml:space="preserve">Target: 85+ (exceeding Dutch healthcare benchmark of 72)</w:t>
      </w:r>
    </w:p>
    <w:p>
      <w:pPr>
        <w:numPr>
          <w:ilvl w:val="0"/>
          <w:numId w:val="1003"/>
        </w:numPr>
        <w:pStyle w:val="Compact"/>
      </w:pPr>
      <w:r>
        <w:rPr>
          <w:bCs/>
          <w:b/>
        </w:rPr>
        <w:t xml:space="preserve">Insurance Coverage Compliance:</w:t>
      </w:r>
      <w:r>
        <w:t xml:space="preserve"> </w:t>
      </w:r>
      <w:r>
        <w:t xml:space="preserve">Achieve 95% success rate in securing supplementary insurance approvals</w:t>
      </w:r>
    </w:p>
    <w:p>
      <w:pPr>
        <w:numPr>
          <w:ilvl w:val="0"/>
          <w:numId w:val="1003"/>
        </w:numPr>
        <w:pStyle w:val="Compact"/>
      </w:pPr>
      <w:r>
        <w:rPr>
          <w:bCs/>
          <w:b/>
        </w:rPr>
        <w:t xml:space="preserve">Community Impact:</w:t>
      </w:r>
      <w:r>
        <w:t xml:space="preserve"> </w:t>
      </w:r>
      <w:r>
        <w:t xml:space="preserve">Secure ≥3 corporate partnerships by Q3</w:t>
      </w:r>
    </w:p>
    <w:bookmarkEnd w:id="30"/>
    <w:bookmarkStart w:id="31" w:name="X40b89604a335d50b08d989ad5fa3890bd9bc8fe"/>
    <w:p>
      <w:pPr>
        <w:pStyle w:val="Heading2"/>
      </w:pPr>
      <w:r>
        <w:t xml:space="preserve">Conclusion: Surgeon as Amsterdam Healthcare Leader</w:t>
      </w:r>
    </w:p>
    <w:p>
      <w:pPr>
        <w:pStyle w:val="FirstParagraph"/>
      </w:pPr>
      <w:r>
        <w:t xml:space="preserve">This Marketing Plan transforms our Surgeon from a clinical provider into an indispensable healthcare partner within Amsterdam's ecosystem. By centering every tactic on Netherlands' regulatory framework, cultural nuances, and patient expectations – rather than generic global strategies – we position the practice to capture market leadership. The focus on Dutch-language digital accessibility, community integration through Amsterdam’s unique municipal health networks, and culturally attuned patient journeys directly addresses unmet needs in the city's surgical care market. With 78% of Amsterdam residents seeking supplementary surgical coverage, this plan delivers not just growth, but sustainable trust-building within the Netherlands’ healthcare landscape. As our Surgeon becomes synonymous with transparent, high-value surgical care in Amsterdam, we establish a blueprint for excellence that elevates both patient outcomes and practice reputation across the Netherlands.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 Amsterdam, Netherlands</dc:title>
  <dc:creator/>
  <dc:language>en</dc:language>
  <cp:keywords/>
  <dcterms:created xsi:type="dcterms:W3CDTF">2026-07-23T01:00:56Z</dcterms:created>
  <dcterms:modified xsi:type="dcterms:W3CDTF">2026-07-23T01:00:56Z</dcterms:modified>
</cp:coreProperties>
</file>

<file path=docProps/custom.xml><?xml version="1.0" encoding="utf-8"?>
<Properties xmlns="http://schemas.openxmlformats.org/officeDocument/2006/custom-properties" xmlns:vt="http://schemas.openxmlformats.org/officeDocument/2006/docPropsVTypes"/>
</file>