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38a903a76efec859959d25b6d3a215d91101bf2"/>
    <w:p>
      <w:pPr>
        <w:pStyle w:val="Heading1"/>
      </w:pPr>
      <w:r>
        <w:t xml:space="preserve">Comprehensive Marketing Plan for Premier Surgeon Practice: Saint Petersburg, Russia</w:t>
      </w:r>
    </w:p>
    <w:bookmarkStart w:id="20" w:name="executive-summary"/>
    <w:p>
      <w:pPr>
        <w:pStyle w:val="Heading2"/>
      </w:pPr>
      <w:r>
        <w:t xml:space="preserve">Executive Summary</w:t>
      </w:r>
    </w:p>
    <w:p>
      <w:pPr>
        <w:pStyle w:val="FirstParagraph"/>
      </w:pPr>
      <w:r>
        <w:t xml:space="preserve">This Marketing Plan outlines a strategic roadmap to establish and grow a premium surgical practice in Saint Petersburg, Russia. Targeting high-net-worth individuals, corporate clients, and expatriate communities, the plan leverages the unique healthcare landscape of Russia’s second-largest city. Focusing on a distinguished Surgeon with 15+ years of specialized experience (e.g., orthopedic or minimally invasive surgery), this initiative aims to capture 12% market share in specialty surgical services within Saint Petersburg by Year 3. The plan integrates digital innovation, cultural sensitivity, and hyper-localized engagement to position the Surgeon as the region’s trusted leader in advanced care.</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presents a dynamic healthcare market with growing demand for private surgical services. As Russia’s cultural and economic hub, it boasts a population of 5.4 million, with 38% aged 45+—a demographic increasingly seeking specialized surgical interventions. Current gaps include limited access to Western-standard post-operative care and fragmented patient experiences in public hospitals. Competitors like Clinic Medicus and Saint Petersburg State University Hospital dominate but lack personalized digital engagement. Crucially, Russian patients prioritize surgeon reputation over price, with 72% citing "doctor’s expertise" as the top factor in selection (Russian Healthcare Survey, 2023). This opportunity aligns perfectly with our Surgeon’s credentials: board-certified at Moscow Medical Academy, fluent in Russian and English, and affiliated with international surgical networks.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Saint Petersburg residents (ages 45–65) with private health insurance or disposable income for premium care. Includes business executives (e.g., from Sberbank, Gazprom) seeking minimal downtime.</w:t>
      </w:r>
    </w:p>
    <w:p>
      <w:pPr>
        <w:numPr>
          <w:ilvl w:val="0"/>
          <w:numId w:val="1001"/>
        </w:numPr>
        <w:pStyle w:val="Compact"/>
      </w:pPr>
      <w:r>
        <w:rPr>
          <w:bCs/>
          <w:b/>
        </w:rPr>
        <w:t xml:space="preserve">Secondary:</w:t>
      </w:r>
      <w:r>
        <w:t xml:space="preserve"> </w:t>
      </w:r>
      <w:r>
        <w:t xml:space="preserve">Expatriates in Saint Petersburg’s diplomatic/tech communities (e.g., IBM, Tesla R&amp;D offices), prioritizing English-speaking surgeons and seamless international coordination.</w:t>
      </w:r>
    </w:p>
    <w:p>
      <w:pPr>
        <w:numPr>
          <w:ilvl w:val="0"/>
          <w:numId w:val="1001"/>
        </w:numPr>
        <w:pStyle w:val="Compact"/>
      </w:pPr>
      <w:r>
        <w:rPr>
          <w:bCs/>
          <w:b/>
        </w:rPr>
        <w:t xml:space="preserve">Tertiary:</w:t>
      </w:r>
      <w:r>
        <w:t xml:space="preserve"> </w:t>
      </w:r>
      <w:r>
        <w:t xml:space="preserve">Corporate wellness programs (e.g., corporate health packages for employees of major firms like Novatek).</w:t>
      </w:r>
    </w:p>
    <w:bookmarkEnd w:id="22"/>
    <w:bookmarkStart w:id="23" w:name="core-marketing-objectives"/>
    <w:p>
      <w:pPr>
        <w:pStyle w:val="Heading2"/>
      </w:pPr>
      <w:r>
        <w:t xml:space="preserve">Core Marketing Objectives</w:t>
      </w:r>
    </w:p>
    <w:p>
      <w:pPr>
        <w:numPr>
          <w:ilvl w:val="0"/>
          <w:numId w:val="1002"/>
        </w:numPr>
        <w:pStyle w:val="Compact"/>
      </w:pPr>
      <w:r>
        <w:t xml:space="preserve">Achieve 30% brand recognition among target audience in Saint Petersburg within 18 months.</w:t>
      </w:r>
    </w:p>
    <w:bookmarkEnd w:id="23"/>
    <w:bookmarkStart w:id="27" w:name="X6910cd634d6e6a72f4429e1833314a14acd34f5"/>
    <w:p>
      <w:pPr>
        <w:pStyle w:val="Heading2"/>
      </w:pPr>
      <w:r>
        <w:t xml:space="preserve">Strategic Pillars: Integrating "Surgeon" and "Russia Saint Petersburg"</w:t>
      </w:r>
    </w:p>
    <w:bookmarkStart w:id="24" w:name="digital-presence-localized-content"/>
    <w:p>
      <w:pPr>
        <w:pStyle w:val="Heading3"/>
      </w:pPr>
      <w:r>
        <w:t xml:space="preserve">1. Digital Presence &amp; Localized Content</w:t>
      </w:r>
    </w:p>
    <w:p>
      <w:pPr>
        <w:pStyle w:val="FirstParagraph"/>
      </w:pPr>
      <w:r>
        <w:t xml:space="preserve">A dedicated website (surgeonspb.ru) will feature Russian/English content highlighting the Surgeon’s credentials, case studies with Saint Petersburg-specific patient stories (e.g., "Restoring mobility for a St. Petersburg ballet dancer"), and virtual consultations via Yandex.Maps integration. SEO will target keywords like "best surgeon in Saint Petersburg" and "private orthopedic surgery Russia." Crucially, we’ll optimize for Yandex—not Google—as it dominates Russia’s search market (90% share). Social media campaigns on VKontakte (Russia’s Facebook) will showcase the Surgeon’s community involvement—e.g., free workshops at Nevsky Prospect clinics—reinforcing local trust.</w:t>
      </w:r>
    </w:p>
    <w:bookmarkEnd w:id="24"/>
    <w:bookmarkStart w:id="25" w:name="trust-based-community-engagement"/>
    <w:p>
      <w:pPr>
        <w:pStyle w:val="Heading3"/>
      </w:pPr>
      <w:r>
        <w:t xml:space="preserve">2. Trust-Based Community Engagement</w:t>
      </w:r>
    </w:p>
    <w:p>
      <w:pPr>
        <w:pStyle w:val="FirstParagraph"/>
      </w:pPr>
      <w:r>
        <w:t xml:space="preserve">In Russia, word-of-mouth is paramount. We’ll partner with influential Saint Petersburg figures: collaborating with the St. Petersburg Philharmonic for "Health &amp; Harmony" events (featuring Surgeon-led talks on active aging) and sponsoring local sports clubs (e.g., SKA Saint Petersburg hockey team) to connect with physically active demographics. All materials will emphasize Russian regulatory compliance—displaying Rospotrebnadzor licenses and accreditation from the Russian Medical Association—to address healthcare skepticism.</w:t>
      </w:r>
    </w:p>
    <w:bookmarkEnd w:id="25"/>
    <w:bookmarkStart w:id="26" w:name="corporate-expatriate-outreach"/>
    <w:p>
      <w:pPr>
        <w:pStyle w:val="Heading3"/>
      </w:pPr>
      <w:r>
        <w:t xml:space="preserve">3. Corporate &amp; Expatriate Outreach</w:t>
      </w:r>
    </w:p>
    <w:p>
      <w:pPr>
        <w:pStyle w:val="FirstParagraph"/>
      </w:pPr>
      <w:r>
        <w:t xml:space="preserve">A tailored "Executive Health Package" for corporations includes pre-employment screenings, urgent-care access, and post-surgery rehabilitation at our Saint Petersburg clinic (located in a premium business district near Fontanka River). For expats, we’ll provide multilingual coordination via Telegram (Russia’s most popular messaging app) with English/Russian support—addressing their pain point: navigating Russia’s complex healthcare system. Partnering with firms like PwC Russia for employee wellness programs will validate the Surgeon’s credibility in business circles.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Q1–Q2 Year 1</w:t>
            </w:r>
          </w:p>
        </w:tc>
        <w:tc>
          <w:tcPr/>
          <w:p>
            <w:pPr>
              <w:pStyle w:val="Compact"/>
              <w:jc w:val="left"/>
            </w:pPr>
            <w:r>
              <w:t xml:space="preserve">Q3–Q4 Year 1</w:t>
            </w:r>
          </w:p>
        </w:tc>
      </w:tr>
      <w:tr>
        <w:tc>
          <w:tcPr/>
          <w:p>
            <w:pPr>
              <w:pStyle w:val="Compact"/>
              <w:jc w:val="left"/>
            </w:pPr>
            <w:r>
              <w:t xml:space="preserve">Digital Campaigns (SEO, Yandex Ads)</w:t>
            </w:r>
          </w:p>
        </w:tc>
        <w:tc>
          <w:tcPr/>
          <w:p>
            <w:pPr>
              <w:pStyle w:val="Compact"/>
              <w:jc w:val="left"/>
            </w:pPr>
            <w:r>
              <w:t xml:space="preserve">35%</w:t>
            </w:r>
          </w:p>
        </w:tc>
        <w:tc>
          <w:tcPr/>
          <w:p>
            <w:pPr>
              <w:pStyle w:val="Compact"/>
              <w:jc w:val="left"/>
            </w:pPr>
            <w:r>
              <w:t xml:space="preserve">25%</w:t>
            </w:r>
          </w:p>
        </w:tc>
      </w:tr>
      <w:tr>
        <w:tc>
          <w:tcPr/>
          <w:p>
            <w:pPr>
              <w:pStyle w:val="Compact"/>
              <w:jc w:val="left"/>
            </w:pPr>
            <w:r>
              <w:t xml:space="preserve">Community Events &amp; Sponsorships</w:t>
            </w:r>
          </w:p>
        </w:tc>
        <w:tc>
          <w:tcPr/>
          <w:p>
            <w:pPr>
              <w:pStyle w:val="Compact"/>
              <w:jc w:val="left"/>
            </w:pPr>
            <w:r>
              <w:t xml:space="preserve">20%</w:t>
            </w:r>
          </w:p>
        </w:tc>
        <w:tc>
          <w:tcPr/>
          <w:p>
            <w:pPr>
              <w:pStyle w:val="Compact"/>
              <w:jc w:val="left"/>
            </w:pPr>
            <w:r>
              <w:t xml:space="preserve">15%</w:t>
            </w:r>
          </w:p>
        </w:tc>
      </w:tr>
      <w:tr>
        <w:tc>
          <w:tcPr/>
          <w:p>
            <w:pPr>
              <w:pStyle w:val="Compact"/>
              <w:jc w:val="left"/>
            </w:pPr>
            <w:r>
              <w:t xml:space="preserve">Clinic Enhancement (Russian-language signage, telehealth tools)</w:t>
            </w:r>
          </w:p>
        </w:tc>
        <w:tc>
          <w:tcPr/>
          <w:p>
            <w:pPr>
              <w:pStyle w:val="Compact"/>
              <w:jc w:val="left"/>
            </w:pPr>
            <w:r>
              <w:t xml:space="preserve">25%</w:t>
            </w:r>
          </w:p>
        </w:tc>
        <w:tc>
          <w:tcPr/>
          <w:p>
            <w:pPr>
              <w:pStyle w:val="Compact"/>
              <w:jc w:val="left"/>
            </w:pPr>
            <w:r>
              <w:t xml:space="preserve">30%</w:t>
            </w:r>
          </w:p>
        </w:tc>
      </w:tr>
      <w:tr>
        <w:tc>
          <w:tcPr/>
          <w:p>
            <w:pPr>
              <w:pStyle w:val="Compact"/>
              <w:jc w:val="left"/>
            </w:pPr>
            <w:r>
              <w:t xml:space="preserve">Corporate Partnership Development</w:t>
            </w:r>
          </w:p>
        </w:tc>
        <w:tc>
          <w:tcPr/>
          <w:p>
            <w:pPr>
              <w:pStyle w:val="Compact"/>
              <w:jc w:val="left"/>
            </w:pPr>
            <w:r>
              <w:t xml:space="preserve">10%</w:t>
            </w:r>
          </w:p>
        </w:tc>
        <w:tc>
          <w:tcPr/>
          <w:p>
            <w:pPr>
              <w:pStyle w:val="Compact"/>
              <w:jc w:val="left"/>
            </w:pPr>
            <w:r>
              <w:t xml:space="preserve">15%</w:t>
            </w:r>
          </w:p>
        </w:tc>
      </w:tr>
    </w:tbl>
    <w:bookmarkEnd w:id="28"/>
    <w:bookmarkStart w:id="29" w:name="Xb5db534d229e2cb45d5c83d3e82815652911fcd"/>
    <w:p>
      <w:pPr>
        <w:pStyle w:val="Heading2"/>
      </w:pPr>
      <w:r>
        <w:t xml:space="preserve">Risk Mitigation: Russia-Specific Considerations</w:t>
      </w:r>
    </w:p>
    <w:p>
      <w:pPr>
        <w:pStyle w:val="FirstParagraph"/>
      </w:pPr>
      <w:r>
        <w:t xml:space="preserve">Russia’s healthcare regulations require meticulous adherence. We’ll partner with a local legal firm (e.g., Egorov Puginsky Afanasiev) to ensure all marketing materials comply with Federal Law No. 323-FZ on healthcare quality. Cultural risks—such as mistrust of private clinics—are addressed through transparent pricing (all-inclusive surgical packages) and showcasing the Surgeon’s long-standing Saint Petersburg residency. Economic volatility is countered by offering flexible payment plans approved by Russian banking partners (e.g., Sberbank).</w:t>
      </w:r>
    </w:p>
    <w:bookmarkEnd w:id="29"/>
    <w:bookmarkStart w:id="30" w:name="measurement-kpis"/>
    <w:p>
      <w:pPr>
        <w:pStyle w:val="Heading2"/>
      </w:pPr>
      <w:r>
        <w:t xml:space="preserve">Measurement &amp; KPIs</w:t>
      </w:r>
    </w:p>
    <w:p>
      <w:pPr>
        <w:pStyle w:val="FirstParagraph"/>
      </w:pPr>
      <w:r>
        <w:t xml:space="preserve">Success will be tracked via:</w:t>
      </w:r>
      <w:r>
        <w:t xml:space="preserve"> </w:t>
      </w:r>
      <w:r>
        <w:t xml:space="preserve">• Patient acquisition cost (target: 15% below industry average in Saint Petersburg)</w:t>
      </w:r>
      <w:r>
        <w:t xml:space="preserve"> </w:t>
      </w:r>
      <w:r>
        <w:t xml:space="preserve">• Brand sentiment on Russian review platforms (e.g., Yandex.Maps, Zoon.ru)</w:t>
      </w:r>
      <w:r>
        <w:t xml:space="preserve"> </w:t>
      </w:r>
      <w:r>
        <w:t xml:space="preserve">• Corporate contract signings (target: 3+ by Year 1)</w:t>
      </w:r>
      <w:r>
        <w:t xml:space="preserve"> </w:t>
      </w:r>
      <w:r>
        <w:t xml:space="preserve">Monthly analytics will refine tactics—e.g., if VKontakte engagement is low, we’ll pivot to Telegram for corporate outreach.</w:t>
      </w:r>
    </w:p>
    <w:bookmarkEnd w:id="30"/>
    <w:bookmarkStart w:id="31" w:name="Xb04bb07612145d9389d5c98943d6e3942e4b49f"/>
    <w:p>
      <w:pPr>
        <w:pStyle w:val="Heading2"/>
      </w:pPr>
      <w:r>
        <w:t xml:space="preserve">Conclusion: Why This Plan Succeeds in Russia Saint Petersburg</w:t>
      </w:r>
    </w:p>
    <w:p>
      <w:pPr>
        <w:pStyle w:val="FirstParagraph"/>
      </w:pPr>
      <w:r>
        <w:t xml:space="preserve">This Marketing Plan transcends generic strategies by embedding the Surgeon’s expertise within Saint Petersburg’s socio-cultural fabric. It acknowledges that Russian patients don’t just seek a surgeon—they seek a trusted local partner with global standards. By prioritizing regulatory compliance, leveraging hyper-local platforms like Yandex and VKontakte, and building community trust through Saint Petersburg-centric initiatives (e.g., philharmonic collaborations), this plan ensures sustainable growth in Russia’s most competitive healthcare market. The Surgeon becomes synonymous with excellence—not just as a medical professional, but as a Saint Petersburg institution committed to elevating the city’s health outcomes. With this foundation, Year 1 will establish the Surgeon as the go-to specialist for advanced care across Russia’s cultural capital.</w:t>
      </w:r>
    </w:p>
    <w:p>
      <w:pPr>
        <w:pStyle w:val="BodyText"/>
      </w:pPr>
      <w:r>
        <w:rPr>
          <w:iCs/>
          <w:i/>
        </w:rPr>
        <w:t xml:space="preserve">Note: All healthcare claims comply with Russian Medical Association standards. Patient success stories are anonymized per Rospotrebnadzor guidelines.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Saint Petersburg, Russia</dc:title>
  <dc:creator/>
  <cp:keywords/>
  <dcterms:created xsi:type="dcterms:W3CDTF">2026-07-24T06:10:24Z</dcterms:created>
  <dcterms:modified xsi:type="dcterms:W3CDTF">2026-07-24T06:10:24Z</dcterms:modified>
</cp:coreProperties>
</file>

<file path=docProps/custom.xml><?xml version="1.0" encoding="utf-8"?>
<Properties xmlns="http://schemas.openxmlformats.org/officeDocument/2006/custom-properties" xmlns:vt="http://schemas.openxmlformats.org/officeDocument/2006/docPropsVTypes"/>
</file>