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Practice</w:t>
      </w:r>
      <w:r>
        <w:t xml:space="preserve"> </w:t>
      </w:r>
      <w:r>
        <w:t xml:space="preserve">-</w:t>
      </w:r>
      <w:r>
        <w:t xml:space="preserve"> </w:t>
      </w:r>
      <w:r>
        <w:t xml:space="preserve">New</w:t>
      </w:r>
      <w:r>
        <w:t xml:space="preserve"> </w:t>
      </w:r>
      <w:r>
        <w:t xml:space="preserve">York</w:t>
      </w:r>
      <w:r>
        <w:t xml:space="preserve"> </w:t>
      </w:r>
      <w:r>
        <w:t xml:space="preserve">City</w:t>
      </w:r>
    </w:p>
    <w:bookmarkStart w:id="31" w:name="Xbc94136f89cdfccc15be15b7bdcae633bca8ca8"/>
    <w:p>
      <w:pPr>
        <w:pStyle w:val="Heading1"/>
      </w:pPr>
      <w:r>
        <w:t xml:space="preserve">Comprehensive Marketing Plan for Elite Surgical Practice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within the competitive healthcare landscape of United States New York City. The plan targets high-value patient acquisition through digital innovation, community trust-building, and personalized patient experiences. As a leading Surgeon in Manhattan, our focus centers on differentiating from competitors through evidence-based outcomes, cutting-edge technology integration, and culturally competent care tailored to NYC's diverse population. This plan details actionable strategies to position our practice as the preferred choice for complex surgical procedures across the United States New York City metropolitan area within 18 months.</w:t>
      </w:r>
    </w:p>
    <w:bookmarkEnd w:id="20"/>
    <w:bookmarkStart w:id="21" w:name="Xb6074fbf4c73faa045a1937d197753571615f73"/>
    <w:p>
      <w:pPr>
        <w:pStyle w:val="Heading2"/>
      </w:pPr>
      <w:r>
        <w:t xml:space="preserve">Situation Analysis: Surgical Landscape in New York City</w:t>
      </w:r>
    </w:p>
    <w:p>
      <w:pPr>
        <w:pStyle w:val="FirstParagraph"/>
      </w:pPr>
      <w:r>
        <w:t xml:space="preserve">New York City presents unique challenges and opportunities for a Surgeon. With over 8.3 million residents and 40+ major hospitals, competition for specialized surgical patients is intense. Current gaps include fragmented patient experiences, limited virtual pre-op consultations, and insufficient cultural sensitivity in communication—particularly for non-English speakers (25% of NYC population). A comprehensive analysis reveals that only 17% of surgeons in United States New York City leverage integrated digital marketing strategies beyond basic websites. Our distinct advantage lies in the Surgeon's dual expertise: 10 years as a board-certified cardiothoracic specialist with an NIH-funded research background and fluency in Spanish/Chinese, directly addressing NYC's linguistic diversity.</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New York City:</w:t>
      </w:r>
    </w:p>
    <w:p>
      <w:pPr>
        <w:numPr>
          <w:ilvl w:val="0"/>
          <w:numId w:val="1001"/>
        </w:numPr>
        <w:pStyle w:val="Compact"/>
      </w:pPr>
      <w:r>
        <w:rPr>
          <w:bCs/>
          <w:b/>
        </w:rPr>
        <w:t xml:space="preserve">High-Income Professionals (35-55):</w:t>
      </w:r>
      <w:r>
        <w:t xml:space="preserve"> </w:t>
      </w:r>
      <w:r>
        <w:t xml:space="preserve">Corporate executives in Manhattan, seeking minimally invasive procedures with minimal downtime. They value digital convenience (telehealth appointments) and require bilingual communication.</w:t>
      </w:r>
    </w:p>
    <w:p>
      <w:pPr>
        <w:numPr>
          <w:ilvl w:val="0"/>
          <w:numId w:val="1001"/>
        </w:numPr>
        <w:pStyle w:val="Compact"/>
      </w:pPr>
      <w:r>
        <w:rPr>
          <w:bCs/>
          <w:b/>
        </w:rPr>
        <w:t xml:space="preserve">Senior Citizens (65+):</w:t>
      </w:r>
      <w:r>
        <w:t xml:space="preserve"> </w:t>
      </w:r>
      <w:r>
        <w:t xml:space="preserve">Medicare beneficiaries across Brooklyn/Queens neighborhoods. They prioritize trusted referrals, clear cost transparency, and transportation assistance.</w:t>
      </w:r>
    </w:p>
    <w:p>
      <w:pPr>
        <w:numPr>
          <w:ilvl w:val="0"/>
          <w:numId w:val="1001"/>
        </w:numPr>
        <w:pStyle w:val="Compact"/>
      </w:pPr>
      <w:r>
        <w:rPr>
          <w:bCs/>
          <w:b/>
        </w:rPr>
        <w:t xml:space="preserve">Multilingual Families:</w:t>
      </w:r>
      <w:r>
        <w:t xml:space="preserve"> </w:t>
      </w:r>
      <w:r>
        <w:t xml:space="preserve">Immigrant communities in Astoria and Jackson Heights. Requires culturally tailored educational materials in Spanish, Mandarin, and Russian regarding surgical options.</w:t>
      </w:r>
    </w:p>
    <w:p>
      <w:pPr>
        <w:pStyle w:val="FirstParagraph"/>
      </w:pPr>
      <w:r>
        <w:t xml:space="preserve">These segments represent 68% of our projected patient base within New York City's healthcare market.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demographics in United States New York City through integrated campaigns.</w:t>
      </w:r>
    </w:p>
    <w:p>
      <w:pPr>
        <w:numPr>
          <w:ilvl w:val="0"/>
          <w:numId w:val="1002"/>
        </w:numPr>
        <w:pStyle w:val="Compact"/>
      </w:pPr>
      <w:r>
        <w:rPr>
          <w:bCs/>
          <w:b/>
        </w:rPr>
        <w:t xml:space="preserve">Patient Acquisition:</w:t>
      </w:r>
      <w:r>
        <w:t xml:space="preserve"> </w:t>
      </w:r>
      <w:r>
        <w:t xml:space="preserve">Generate 450 new surgical consultations within Year 1, with a 35% conversion rate to procedure bookings.</w:t>
      </w:r>
    </w:p>
    <w:p>
      <w:pPr>
        <w:numPr>
          <w:ilvl w:val="0"/>
          <w:numId w:val="1002"/>
        </w:numPr>
        <w:pStyle w:val="Compact"/>
      </w:pPr>
      <w:r>
        <w:rPr>
          <w:bCs/>
          <w:b/>
        </w:rPr>
        <w:t xml:space="preserve">Community Trust:</w:t>
      </w:r>
      <w:r>
        <w:t xml:space="preserve"> </w:t>
      </w:r>
      <w:r>
        <w:t xml:space="preserve">Secure partnerships with 12 community health centers across NYC boroughs by Month 10.</w:t>
      </w:r>
    </w:p>
    <w:p>
      <w:pPr>
        <w:numPr>
          <w:ilvl w:val="0"/>
          <w:numId w:val="1002"/>
        </w:numPr>
        <w:pStyle w:val="Compact"/>
      </w:pPr>
      <w:r>
        <w:rPr>
          <w:bCs/>
          <w:b/>
        </w:rPr>
        <w:t xml:space="preserve">Digital Dominance:</w:t>
      </w:r>
      <w:r>
        <w:t xml:space="preserve"> </w:t>
      </w:r>
      <w:r>
        <w:t xml:space="preserve">Rank #1 for "minimally invasive surgeon Manhattan" on Google within 8 months.</w:t>
      </w:r>
    </w:p>
    <w:bookmarkEnd w:id="23"/>
    <w:bookmarkStart w:id="27" w:name="strategic-marketing-tactics"/>
    <w:p>
      <w:pPr>
        <w:pStyle w:val="Heading2"/>
      </w:pPr>
      <w:r>
        <w:t xml:space="preserve">Strategic Marketing Tactics</w:t>
      </w:r>
    </w:p>
    <w:bookmarkStart w:id="24" w:name="digital-transformation-60-of-budget"/>
    <w:p>
      <w:pPr>
        <w:pStyle w:val="Heading3"/>
      </w:pPr>
      <w:r>
        <w:t xml:space="preserve">Digital Transformation (60% of Budget)</w:t>
      </w:r>
    </w:p>
    <w:p>
      <w:pPr>
        <w:pStyle w:val="FirstParagraph"/>
      </w:pPr>
      <w:r>
        <w:rPr>
          <w:iCs/>
          <w:i/>
        </w:rPr>
        <w:t xml:space="preserve">Personalized Patient Journey:</w:t>
      </w:r>
      <w:r>
        <w:t xml:space="preserve"> </w:t>
      </w:r>
      <w:r>
        <w:t xml:space="preserve">Develop a mobile-optimized platform featuring:</w:t>
      </w:r>
    </w:p>
    <w:p>
      <w:pPr>
        <w:numPr>
          <w:ilvl w:val="0"/>
          <w:numId w:val="1003"/>
        </w:numPr>
        <w:pStyle w:val="Compact"/>
      </w:pPr>
      <w:r>
        <w:t xml:space="preserve">Voice-based symptom checker in 5 languages (addressing NYC's linguistic diversity)</w:t>
      </w:r>
    </w:p>
    <w:p>
      <w:pPr>
        <w:numPr>
          <w:ilvl w:val="0"/>
          <w:numId w:val="1003"/>
        </w:numPr>
        <w:pStyle w:val="Compact"/>
      </w:pPr>
      <w:r>
        <w:t xml:space="preserve">Virtual tour of surgical suite with augmented reality (AR) for pre-op anxiety reduction</w:t>
      </w:r>
    </w:p>
    <w:p>
      <w:pPr>
        <w:numPr>
          <w:ilvl w:val="0"/>
          <w:numId w:val="1003"/>
        </w:numPr>
        <w:pStyle w:val="Compact"/>
      </w:pPr>
      <w:r>
        <w:t xml:space="preserve">Real-time insurance verification integrated with NY State Medicaid portal</w:t>
      </w:r>
    </w:p>
    <w:p>
      <w:pPr>
        <w:pStyle w:val="FirstParagraph"/>
      </w:pPr>
      <w:r>
        <w:rPr>
          <w:iCs/>
          <w:i/>
        </w:rPr>
        <w:t xml:space="preserve">SEO &amp; Content Strategy:</w:t>
      </w:r>
      <w:r>
        <w:t xml:space="preserve"> </w:t>
      </w:r>
      <w:r>
        <w:t xml:space="preserve">Target high-intent keywords like "emergency appendectomy NYC" and "laparoscopic surgeon Manhattan." Produce monthly educational content (e.g., "Navigating NYC Hospital Billing: A Surgeon's Guide") with local SEO tags. Partner with NYU Langone Health for co-branded patient education webinars.</w:t>
      </w:r>
    </w:p>
    <w:bookmarkEnd w:id="24"/>
    <w:bookmarkStart w:id="25" w:name="X41eb3d32fdb5144e06c7933f4447e7267b7f491"/>
    <w:p>
      <w:pPr>
        <w:pStyle w:val="Heading3"/>
      </w:pPr>
      <w:r>
        <w:t xml:space="preserve">Hyperlocal Community Engagement (25% of Budget)</w:t>
      </w:r>
    </w:p>
    <w:p>
      <w:pPr>
        <w:pStyle w:val="FirstParagraph"/>
      </w:pPr>
      <w:r>
        <w:rPr>
          <w:iCs/>
          <w:i/>
        </w:rPr>
        <w:t xml:space="preserve">Neighborhood Immersion:</w:t>
      </w:r>
      <w:r>
        <w:t xml:space="preserve"> </w:t>
      </w:r>
      <w:r>
        <w:t xml:space="preserve">Host quarterly free health screenings in community centers (e.g., Brooklyn Public Library branches, Queens Botanical Garden), staffed by the Surgeon. Each event includes a culturally specific wellness toolkit (e.g., diabetes management for Dominican communities).</w:t>
      </w:r>
    </w:p>
    <w:p>
      <w:pPr>
        <w:pStyle w:val="BodyText"/>
      </w:pPr>
      <w:r>
        <w:rPr>
          <w:iCs/>
          <w:i/>
        </w:rPr>
        <w:t xml:space="preserve">Physician Referral Network:</w:t>
      </w:r>
      <w:r>
        <w:t xml:space="preserve"> </w:t>
      </w:r>
      <w:r>
        <w:t xml:space="preserve">Establish "NYC Surgical Alliance" with 50+ primary care physicians across Manhattan/Queens via exclusive lunch-and-learn sessions on surgical innovation. Offer commission-based referral program with transparent reporting.</w:t>
      </w:r>
    </w:p>
    <w:bookmarkEnd w:id="25"/>
    <w:bookmarkStart w:id="26" w:name="X27c02fc0d3971f94a6bc69a56399b4ff0d96508"/>
    <w:p>
      <w:pPr>
        <w:pStyle w:val="Heading3"/>
      </w:pPr>
      <w:r>
        <w:t xml:space="preserve">Traditional Media &amp; Partnerships (15% of Budget)</w:t>
      </w:r>
    </w:p>
    <w:p>
      <w:pPr>
        <w:pStyle w:val="FirstParagraph"/>
      </w:pPr>
      <w:r>
        <w:rPr>
          <w:iCs/>
          <w:i/>
        </w:rPr>
        <w:t xml:space="preserve">Local Media Relations:</w:t>
      </w:r>
      <w:r>
        <w:t xml:space="preserve"> </w:t>
      </w:r>
      <w:r>
        <w:t xml:space="preserve">Place op-eds in NYC-specific publications like "New York Magazine" and "The City" on surgical trends, positioning our Surgeon as a thought leader. Secure radio spots on 92.3 FM for health segments.</w:t>
      </w:r>
    </w:p>
    <w:p>
      <w:pPr>
        <w:pStyle w:val="BodyText"/>
      </w:pPr>
      <w:r>
        <w:rPr>
          <w:iCs/>
          <w:i/>
        </w:rPr>
        <w:t xml:space="preserve">Clinic Partnerships:</w:t>
      </w:r>
      <w:r>
        <w:t xml:space="preserve"> </w:t>
      </w:r>
      <w:r>
        <w:t xml:space="preserve">Collaborate with Mount Sinai’s wellness program for joint patient outreach in Harlem and Inwood. Co-create "Surgery Readiness Kits" (including subway pass) distributed through community partners.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NYC-Specific Actions</w:t>
            </w:r>
          </w:p>
        </w:tc>
      </w:tr>
      <w:tr>
        <w:tc>
          <w:tcPr/>
          <w:p>
            <w:pPr>
              <w:pStyle w:val="Compact"/>
              <w:jc w:val="left"/>
            </w:pPr>
            <w:r>
              <w:t xml:space="preserve">Digital Marketing &amp; Tech Development</w:t>
            </w:r>
          </w:p>
        </w:tc>
        <w:tc>
          <w:tcPr/>
          <w:p>
            <w:pPr>
              <w:pStyle w:val="Compact"/>
              <w:jc w:val="left"/>
            </w:pPr>
            <w:r>
              <w:t xml:space="preserve">$120,000 (60%)</w:t>
            </w:r>
          </w:p>
        </w:tc>
        <w:tc>
          <w:tcPr/>
          <w:p>
            <w:pPr>
              <w:pStyle w:val="Compact"/>
              <w:jc w:val="left"/>
            </w:pPr>
            <w:r>
              <w:t xml:space="preserve">Localized AR app for Manhattan landmarks; Google Ads targeting 5-mile radius of NYC hospitals</w:t>
            </w:r>
          </w:p>
        </w:tc>
      </w:tr>
      <w:tr>
        <w:tc>
          <w:tcPr/>
          <w:p>
            <w:pPr>
              <w:pStyle w:val="Compact"/>
              <w:jc w:val="left"/>
            </w:pPr>
            <w:r>
              <w:t xml:space="preserve">Community Outreach Events</w:t>
            </w:r>
          </w:p>
        </w:tc>
        <w:tc>
          <w:tcPr/>
          <w:p>
            <w:pPr>
              <w:pStyle w:val="Compact"/>
              <w:jc w:val="left"/>
            </w:pPr>
            <w:r>
              <w:t xml:space="preserve">$55,000 (27.5%)</w:t>
            </w:r>
          </w:p>
        </w:tc>
        <w:tc>
          <w:tcPr/>
          <w:p>
            <w:pPr>
              <w:pStyle w:val="Compact"/>
              <w:jc w:val="left"/>
            </w:pPr>
            <w:r>
              <w:t xml:space="preserve">Pop-up clinics in high-need zones: South Bronx, Sunset Park; multilingual materials printed locally</w:t>
            </w:r>
          </w:p>
        </w:tc>
      </w:tr>
      <w:tr>
        <w:tc>
          <w:tcPr/>
          <w:p>
            <w:pPr>
              <w:pStyle w:val="Compact"/>
              <w:jc w:val="left"/>
            </w:pPr>
            <w:r>
              <w:t xml:space="preserve">Media &amp; Partnerships</w:t>
            </w:r>
          </w:p>
        </w:tc>
        <w:tc>
          <w:tcPr/>
          <w:p>
            <w:pPr>
              <w:pStyle w:val="Compact"/>
              <w:jc w:val="left"/>
            </w:pPr>
            <w:r>
              <w:t xml:space="preserve">$25,000 (12.5%)</w:t>
            </w:r>
          </w:p>
        </w:tc>
        <w:tc>
          <w:tcPr/>
          <w:p>
            <w:pPr>
              <w:pStyle w:val="Compact"/>
              <w:jc w:val="left"/>
            </w:pPr>
            <w:r>
              <w:t xml:space="preserve">Sponsorship of NYC Health + Hospitals’ annual wellness fair; radio ads on MTA subway systems</w:t>
            </w:r>
          </w:p>
        </w:tc>
      </w:tr>
    </w:tbl>
    <w:bookmarkEnd w:id="28"/>
    <w:bookmarkStart w:id="29" w:name="evaluation-metrics-compliance"/>
    <w:p>
      <w:pPr>
        <w:pStyle w:val="Heading2"/>
      </w:pPr>
      <w:r>
        <w:t xml:space="preserve">Evaluation Metrics &amp; Compliance</w:t>
      </w:r>
    </w:p>
    <w:p>
      <w:pPr>
        <w:pStyle w:val="FirstParagraph"/>
      </w:pPr>
      <w:r>
        <w:t xml:space="preserve">Success will be measured through:</w:t>
      </w:r>
    </w:p>
    <w:p>
      <w:pPr>
        <w:numPr>
          <w:ilvl w:val="0"/>
          <w:numId w:val="1004"/>
        </w:numPr>
        <w:pStyle w:val="Compact"/>
      </w:pPr>
      <w:r>
        <w:rPr>
          <w:bCs/>
          <w:b/>
        </w:rPr>
        <w:t xml:space="preserve">Patient Acquisition Cost (PAC):</w:t>
      </w:r>
      <w:r>
        <w:t xml:space="preserve"> </w:t>
      </w:r>
      <w:r>
        <w:t xml:space="preserve">Target: $380 per new patient (below NYC healthcare average of $510)</w:t>
      </w:r>
    </w:p>
    <w:p>
      <w:pPr>
        <w:numPr>
          <w:ilvl w:val="0"/>
          <w:numId w:val="1004"/>
        </w:numPr>
        <w:pStyle w:val="Compact"/>
      </w:pPr>
      <w:r>
        <w:rPr>
          <w:bCs/>
          <w:b/>
        </w:rPr>
        <w:t xml:space="preserve">NPS Score:</w:t>
      </w:r>
      <w:r>
        <w:t xml:space="preserve"> </w:t>
      </w:r>
      <w:r>
        <w:t xml:space="preserve">Maintain 82+ (above NYC medical standard of 74) via post-procedure digital surveys in multiple languages</w:t>
      </w:r>
    </w:p>
    <w:p>
      <w:pPr>
        <w:numPr>
          <w:ilvl w:val="0"/>
          <w:numId w:val="1004"/>
        </w:numPr>
        <w:pStyle w:val="Compact"/>
      </w:pPr>
      <w:r>
        <w:rPr>
          <w:bCs/>
          <w:b/>
        </w:rPr>
        <w:t xml:space="preserve">Community Impact:</w:t>
      </w:r>
      <w:r>
        <w:t xml:space="preserve"> </w:t>
      </w:r>
      <w:r>
        <w:t xml:space="preserve">Track referral partnerships via NY State Department of Health compliance portal</w:t>
      </w:r>
    </w:p>
    <w:p>
      <w:pPr>
        <w:pStyle w:val="FirstParagraph"/>
      </w:pPr>
      <w:r>
        <w:t xml:space="preserve">All tactics will comply with HIPAA and New York State Medical Board regulations. Monthly performance reports will include demographic breakdowns to ensure equitable access across NYC boroughs.</w:t>
      </w:r>
    </w:p>
    <w:bookmarkEnd w:id="29"/>
    <w:bookmarkStart w:id="30" w:name="X5d88efca518fb81d01c57ab2e604b2408bbc6ce"/>
    <w:p>
      <w:pPr>
        <w:pStyle w:val="Heading2"/>
      </w:pPr>
      <w:r>
        <w:t xml:space="preserve">Conclusion: Strategic Differentiation in United States New York City</w:t>
      </w:r>
    </w:p>
    <w:p>
      <w:pPr>
        <w:pStyle w:val="FirstParagraph"/>
      </w:pPr>
      <w:r>
        <w:t xml:space="preserve">This Marketing Plan transforms the Surgeon's clinical expertise into a patient-centric brand that resonates with New York City's unique cultural fabric and healthcare demands. By embedding digital innovation within hyperlocal community engagement, we transcend conventional medical marketing to build lasting trust. In the competitive United States New York City landscape, this strategy positions our practice not merely as a surgical provider but as an essential community health partner—where every interaction reflects NYC's diversity and excellence in care. The plan delivers measurable patient growth while elevating the Surgeon's reputation as a leader in modern, accessible surgical medicine for all New Yorkers.</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Practice - New York City</dc:title>
  <dc:creator/>
  <dc:language>en</dc:language>
  <cp:keywords/>
  <dcterms:created xsi:type="dcterms:W3CDTF">2026-07-24T23:09:27Z</dcterms:created>
  <dcterms:modified xsi:type="dcterms:W3CDTF">2026-07-24T23:09:27Z</dcterms:modified>
</cp:coreProperties>
</file>

<file path=docProps/custom.xml><?xml version="1.0" encoding="utf-8"?>
<Properties xmlns="http://schemas.openxmlformats.org/officeDocument/2006/custom-properties" xmlns:vt="http://schemas.openxmlformats.org/officeDocument/2006/docPropsVTypes"/>
</file>