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Engineers</w:t>
      </w:r>
      <w:r>
        <w:t xml:space="preserve"> </w:t>
      </w:r>
      <w:r>
        <w:t xml:space="preserve">in</w:t>
      </w:r>
      <w:r>
        <w:t xml:space="preserve"> </w:t>
      </w:r>
      <w:r>
        <w:t xml:space="preserve">China</w:t>
      </w:r>
      <w:r>
        <w:t xml:space="preserve"> </w:t>
      </w:r>
      <w:r>
        <w:t xml:space="preserve">Beijing</w:t>
      </w:r>
    </w:p>
    <w:bookmarkStart w:id="28" w:name="X179bdebfa6be2142570a53d7ab33ffa31281f7a"/>
    <w:p>
      <w:pPr>
        <w:pStyle w:val="Heading1"/>
      </w:pPr>
      <w:r>
        <w:t xml:space="preserve">Comprehensive Marketing Plan for Systems Engineers in China Beijing</w:t>
      </w:r>
    </w:p>
    <w:bookmarkStart w:id="20" w:name="executive-summary"/>
    <w:p>
      <w:pPr>
        <w:pStyle w:val="Heading2"/>
      </w:pPr>
      <w:r>
        <w:t xml:space="preserve">Executive Summary</w:t>
      </w:r>
    </w:p>
    <w:p>
      <w:pPr>
        <w:pStyle w:val="FirstParagraph"/>
      </w:pPr>
      <w:r>
        <w:t xml:space="preserve">This Marketing Plan outlines a targeted strategy to position our technology solutions as the premier choice for Systems Engineers operating within the dynamic tech ecosystem of China Beijing. As the epicenter of China's innovation landscape, Beijing hosts over 30% of the nation's high-tech enterprises, including global giants and homegrown innovators like Baidu, Xiaomi, and Huawei. Our focus centers on addressing critical pain points faced by Systems Engineers in this market—such as cloud migration complexity, cybersecurity compliance under China's stringent data laws (e.g., PIPL), and AI infrastructure scaling—through a localized approach. This Marketing Plan leverages Beijing’s unique tech infrastructure (e.g., Zhongguancun Science Park) to build trust and drive measurable engagement with Systems Engineers across government, enterprise, and startups.</w:t>
      </w:r>
    </w:p>
    <w:bookmarkEnd w:id="20"/>
    <w:bookmarkStart w:id="21" w:name="X07ecb30cfc7de5f423df944d79073d577811a00"/>
    <w:p>
      <w:pPr>
        <w:pStyle w:val="Heading2"/>
      </w:pPr>
      <w:r>
        <w:t xml:space="preserve">Market Analysis: China Beijing's Systems Engineer Landscape</w:t>
      </w:r>
    </w:p>
    <w:p>
      <w:pPr>
        <w:pStyle w:val="FirstParagraph"/>
      </w:pPr>
      <w:r>
        <w:t xml:space="preserve">Beijing's technology sector is projected to grow at 14.3% annually through 2027 (Beijing Municipal Tech Report 2023), creating acute demand for skilled Systems Engineers. Key drivers include the city’s "AI+5G" national strategy, state-backed semiconductor initiatives, and mandatory cloud adoption for government agencies under China's Digital China Policy. However, Systems Engineers in Beijing face distinct challenges:</w:t>
      </w:r>
    </w:p>
    <w:p>
      <w:pPr>
        <w:numPr>
          <w:ilvl w:val="0"/>
          <w:numId w:val="1001"/>
        </w:numPr>
        <w:pStyle w:val="Compact"/>
      </w:pPr>
      <w:r>
        <w:t xml:space="preserve">Compliance with China's Cybersecurity Law and data localization requirements.</w:t>
      </w:r>
    </w:p>
    <w:p>
      <w:pPr>
        <w:numPr>
          <w:ilvl w:val="0"/>
          <w:numId w:val="1001"/>
        </w:numPr>
        <w:pStyle w:val="Compact"/>
      </w:pPr>
      <w:r>
        <w:t xml:space="preserve">Integration of legacy systems with emerging AI/ML platforms (e.g., Alibaba Cloud’s Tongyi Lab).</w:t>
      </w:r>
    </w:p>
    <w:p>
      <w:pPr>
        <w:numPr>
          <w:ilvl w:val="0"/>
          <w:numId w:val="1001"/>
        </w:numPr>
        <w:pStyle w:val="Compact"/>
      </w:pPr>
      <w:r>
        <w:t xml:space="preserve">High competition for talent, with 68% of engineers seeking specialized upskilling opportunities (2023 Beijing Tech Talent Survey).</w:t>
      </w:r>
    </w:p>
    <w:p>
      <w:pPr>
        <w:pStyle w:val="FirstParagraph"/>
      </w:pPr>
      <w:r>
        <w:t xml:space="preserve">Competitors like Tencent and Alibaba Cloud dominate the market with generic solutions. Our Marketing Plan differentiates by offering China-specific compliance frameworks and Beijing-centric case studies—e.g., optimizing smart city infrastructure for Beijing’s urban planning projects.</w:t>
      </w:r>
    </w:p>
    <w:bookmarkEnd w:id="21"/>
    <w:bookmarkStart w:id="22" w:name="Xcccdf7296242390d5e0d2eb3f8a9baa532f8166"/>
    <w:p>
      <w:pPr>
        <w:pStyle w:val="Heading2"/>
      </w:pPr>
      <w:r>
        <w:t xml:space="preserve">Target Audience: Systems Engineers in China Beijing</w:t>
      </w:r>
    </w:p>
    <w:p>
      <w:pPr>
        <w:pStyle w:val="FirstParagraph"/>
      </w:pPr>
      <w:r>
        <w:t xml:space="preserve">Our primary audience comprises mid-to-senior-level Systems Engineers working within:</w:t>
      </w:r>
    </w:p>
    <w:p>
      <w:pPr>
        <w:numPr>
          <w:ilvl w:val="0"/>
          <w:numId w:val="1002"/>
        </w:numPr>
        <w:pStyle w:val="Compact"/>
      </w:pPr>
      <w:r>
        <w:rPr>
          <w:bCs/>
          <w:b/>
        </w:rPr>
        <w:t xml:space="preserve">State-Owned Enterprises (SOEs):</w:t>
      </w:r>
      <w:r>
        <w:t xml:space="preserve"> </w:t>
      </w:r>
      <w:r>
        <w:t xml:space="preserve">E.g., China Telecom, State Grid, requiring robust cloud infrastructure for national projects.</w:t>
      </w:r>
    </w:p>
    <w:p>
      <w:pPr>
        <w:numPr>
          <w:ilvl w:val="0"/>
          <w:numId w:val="1002"/>
        </w:numPr>
        <w:pStyle w:val="Compact"/>
      </w:pPr>
      <w:r>
        <w:rPr>
          <w:bCs/>
          <w:b/>
        </w:rPr>
        <w:t xml:space="preserve">High-Growth Tech Startups:</w:t>
      </w:r>
      <w:r>
        <w:t xml:space="preserve"> </w:t>
      </w:r>
      <w:r>
        <w:t xml:space="preserve">Zhongguancun-based AI/semiconductor firms needing scalable systems (e.g., DeepSeek, SenseTime).</w:t>
      </w:r>
    </w:p>
    <w:p>
      <w:pPr>
        <w:numPr>
          <w:ilvl w:val="0"/>
          <w:numId w:val="1002"/>
        </w:numPr>
        <w:pStyle w:val="Compact"/>
      </w:pPr>
      <w:r>
        <w:rPr>
          <w:bCs/>
          <w:b/>
        </w:rPr>
        <w:t xml:space="preserve">Government-Linked Initiatives:</w:t>
      </w:r>
      <w:r>
        <w:t xml:space="preserve"> </w:t>
      </w:r>
      <w:r>
        <w:t xml:space="preserve">Departments under Beijing’s Digital Governance Bureau managing data centers for public services.</w:t>
      </w:r>
    </w:p>
    <w:p>
      <w:pPr>
        <w:pStyle w:val="FirstParagraph"/>
      </w:pPr>
      <w:r>
        <w:t xml:space="preserve">These engineers prioritize solutions that ensure regulatory alignment, reduce migration risks, and integrate seamlessly with China’s tech stack (e.g., HarmonyOS, Cloud Native Computing). They actively seek peer-reviewed content on platforms like WeChat and Baidu Zhidao—making these channels critical for our Marketing Plan.</w:t>
      </w:r>
    </w:p>
    <w:bookmarkEnd w:id="22"/>
    <w:bookmarkStart w:id="23" w:name="unique-value-proposition"/>
    <w:p>
      <w:pPr>
        <w:pStyle w:val="Heading2"/>
      </w:pPr>
      <w:r>
        <w:t xml:space="preserve">Unique Value Proposition</w:t>
      </w:r>
    </w:p>
    <w:p>
      <w:pPr>
        <w:pStyle w:val="FirstParagraph"/>
      </w:pPr>
      <w:r>
        <w:t xml:space="preserve">We deliver a specialized Systems Engineering platform engineered *for* the Beijing market, featuring:</w:t>
      </w:r>
    </w:p>
    <w:p>
      <w:pPr>
        <w:numPr>
          <w:ilvl w:val="0"/>
          <w:numId w:val="1003"/>
        </w:numPr>
        <w:pStyle w:val="Compact"/>
      </w:pPr>
      <w:r>
        <w:rPr>
          <w:bCs/>
          <w:b/>
        </w:rPr>
        <w:t xml:space="preserve">China Compliance Engine:</w:t>
      </w:r>
      <w:r>
        <w:t xml:space="preserve"> </w:t>
      </w:r>
      <w:r>
        <w:t xml:space="preserve">Auto-configuration for PIPL, Cybersecurity Law, and National Cryptography Standards.</w:t>
      </w:r>
    </w:p>
    <w:p>
      <w:pPr>
        <w:numPr>
          <w:ilvl w:val="0"/>
          <w:numId w:val="1003"/>
        </w:numPr>
        <w:pStyle w:val="Compact"/>
      </w:pPr>
      <w:r>
        <w:rPr>
          <w:bCs/>
          <w:b/>
        </w:rPr>
        <w:t xml:space="preserve">Beijing-Specific Case Studies:</w:t>
      </w:r>
      <w:r>
        <w:t xml:space="preserve"> </w:t>
      </w:r>
      <w:r>
        <w:t xml:space="preserve">Real-world deployments in projects like "Beijing Smart Transport Network" (reducing latency by 40%).</w:t>
      </w:r>
    </w:p>
    <w:p>
      <w:pPr>
        <w:numPr>
          <w:ilvl w:val="0"/>
          <w:numId w:val="1003"/>
        </w:numPr>
        <w:pStyle w:val="Compact"/>
      </w:pPr>
      <w:r>
        <w:rPr>
          <w:bCs/>
          <w:b/>
        </w:rPr>
        <w:t xml:space="preserve">Local Talent Partnerships:</w:t>
      </w:r>
      <w:r>
        <w:t xml:space="preserve"> </w:t>
      </w:r>
      <w:r>
        <w:t xml:space="preserve">Co-developed training modules with Beijing University and Tsinghua’s AI Institute to upskill engineers.</w:t>
      </w:r>
    </w:p>
    <w:p>
      <w:pPr>
        <w:pStyle w:val="FirstParagraph"/>
      </w:pPr>
      <w:r>
        <w:t xml:space="preserve">This directly addresses the gap in competitors’ offerings—our Marketing Plan positions us as the only vendor deeply embedded in Beijing’s regulatory and technical fabric, not just a global player.</w:t>
      </w:r>
    </w:p>
    <w:bookmarkEnd w:id="23"/>
    <w:bookmarkStart w:id="24" w:name="Xe5b9ad5720aeaaf6f1b70bd93fc69e7c7e931de"/>
    <w:p>
      <w:pPr>
        <w:pStyle w:val="Heading2"/>
      </w:pPr>
      <w:r>
        <w:t xml:space="preserve">Marketing Tactics &amp; Channels (China Beijing Focus)</w:t>
      </w:r>
    </w:p>
    <w:p>
      <w:pPr>
        <w:pStyle w:val="FirstParagraph"/>
      </w:pPr>
      <w:r>
        <w:t xml:space="preserve">This Marketing Plan executes through hyper-localized channels:</w:t>
      </w:r>
    </w:p>
    <w:p>
      <w:pPr>
        <w:numPr>
          <w:ilvl w:val="0"/>
          <w:numId w:val="1004"/>
        </w:numPr>
        <w:pStyle w:val="Compact"/>
      </w:pPr>
      <w:r>
        <w:rPr>
          <w:bCs/>
          <w:b/>
        </w:rPr>
        <w:t xml:space="preserve">Beijing Tech Events:</w:t>
      </w:r>
      <w:r>
        <w:t xml:space="preserve"> </w:t>
      </w:r>
      <w:r>
        <w:t xml:space="preserve">Sponsor Zhongguancun Forum 2024, hosting "Systems Engineering for China’s AI Leap" workshops with Huawei engineers.</w:t>
      </w:r>
    </w:p>
    <w:p>
      <w:pPr>
        <w:numPr>
          <w:ilvl w:val="0"/>
          <w:numId w:val="1004"/>
        </w:numPr>
        <w:pStyle w:val="Compact"/>
      </w:pPr>
      <w:r>
        <w:rPr>
          <w:bCs/>
          <w:b/>
        </w:rPr>
        <w:t xml:space="preserve">WeChat Mini-Programs:</w:t>
      </w:r>
      <w:r>
        <w:t xml:space="preserve"> </w:t>
      </w:r>
      <w:r>
        <w:t xml:space="preserve">Launch a dedicated channel offering free compliance checklists tailored to Beijing SOEs (e.g., "PIPL Audit Tool for Systems Engineers").</w:t>
      </w:r>
    </w:p>
    <w:p>
      <w:pPr>
        <w:numPr>
          <w:ilvl w:val="0"/>
          <w:numId w:val="1004"/>
        </w:numPr>
        <w:pStyle w:val="Compact"/>
      </w:pPr>
      <w:r>
        <w:rPr>
          <w:bCs/>
          <w:b/>
        </w:rPr>
        <w:t xml:space="preserve">Baidu SEM &amp; SEO:</w:t>
      </w:r>
      <w:r>
        <w:t xml:space="preserve"> </w:t>
      </w:r>
      <w:r>
        <w:t xml:space="preserve">Target keywords like "Systems Engineer Beijing cloud migration" and "China cybersecurity compliance" with localized landing pages.</w:t>
      </w:r>
    </w:p>
    <w:p>
      <w:pPr>
        <w:numPr>
          <w:ilvl w:val="0"/>
          <w:numId w:val="1004"/>
        </w:numPr>
        <w:pStyle w:val="Compact"/>
      </w:pPr>
      <w:r>
        <w:rPr>
          <w:bCs/>
          <w:b/>
        </w:rPr>
        <w:t xml:space="preserve">Peer Advocacy:</w:t>
      </w:r>
      <w:r>
        <w:t xml:space="preserve"> </w:t>
      </w:r>
      <w:r>
        <w:t xml:space="preserve">Recruit 50+ Systems Engineers from Beijing-based companies as beta testers, sharing testimonials on WeChat groups (e.g., "How I Solved Data Localization for Beijing Metro").</w:t>
      </w:r>
    </w:p>
    <w:p>
      <w:pPr>
        <w:pStyle w:val="FirstParagraph"/>
      </w:pPr>
      <w:r>
        <w:t xml:space="preserve">All content emphasizes "China Beijing" context—e.g., webinars discussing how our tools supported the 2023 Beijing Financial District cloud migration.</w:t>
      </w:r>
    </w:p>
    <w:bookmarkEnd w:id="24"/>
    <w:bookmarkStart w:id="25" w:name="performance-metrics-kpis"/>
    <w:p>
      <w:pPr>
        <w:pStyle w:val="Heading2"/>
      </w:pPr>
      <w:r>
        <w:t xml:space="preserve">Performance Metrics &amp; KPIs</w:t>
      </w:r>
    </w:p>
    <w:p>
      <w:pPr>
        <w:pStyle w:val="FirstParagraph"/>
      </w:pPr>
      <w:r>
        <w:t xml:space="preserve">We track success through Beijing-specific KPIs:</w:t>
      </w:r>
    </w:p>
    <w:p>
      <w:pPr>
        <w:numPr>
          <w:ilvl w:val="0"/>
          <w:numId w:val="1005"/>
        </w:numPr>
        <w:pStyle w:val="Compact"/>
      </w:pPr>
      <w:r>
        <w:rPr>
          <w:bCs/>
          <w:b/>
        </w:rPr>
        <w:t xml:space="preserve">Lead Quality:</w:t>
      </w:r>
      <w:r>
        <w:t xml:space="preserve"> </w:t>
      </w:r>
      <w:r>
        <w:t xml:space="preserve">70% of leads from Systems Engineers in Beijing (measured via IP geolocation).</w:t>
      </w:r>
    </w:p>
    <w:p>
      <w:pPr>
        <w:numPr>
          <w:ilvl w:val="0"/>
          <w:numId w:val="1005"/>
        </w:numPr>
        <w:pStyle w:val="Compact"/>
      </w:pPr>
      <w:r>
        <w:rPr>
          <w:bCs/>
          <w:b/>
        </w:rPr>
        <w:t xml:space="preserve">Engagement Rate:</w:t>
      </w:r>
      <w:r>
        <w:t xml:space="preserve"> </w:t>
      </w:r>
      <w:r>
        <w:t xml:space="preserve">&gt;45% for WeChat content targeting engineers (vs. industry avg. 28%).</w:t>
      </w:r>
    </w:p>
    <w:p>
      <w:pPr>
        <w:numPr>
          <w:ilvl w:val="0"/>
          <w:numId w:val="1005"/>
        </w:numPr>
        <w:pStyle w:val="Compact"/>
      </w:pPr>
      <w:r>
        <w:rPr>
          <w:bCs/>
          <w:b/>
        </w:rPr>
        <w:t xml:space="preserve">Campaign ROI:</w:t>
      </w:r>
      <w:r>
        <w:t xml:space="preserve"> </w:t>
      </w:r>
      <w:r>
        <w:t xml:space="preserve">Achieve 3x CAC payback within 10 months in the Beijing market.</w:t>
      </w:r>
    </w:p>
    <w:p>
      <w:pPr>
        <w:numPr>
          <w:ilvl w:val="0"/>
          <w:numId w:val="1005"/>
        </w:numPr>
        <w:pStyle w:val="Compact"/>
      </w:pPr>
      <w:r>
        <w:rPr>
          <w:bCs/>
          <w:b/>
        </w:rPr>
        <w:t xml:space="preserve">Talent Pipeline:</w:t>
      </w:r>
      <w:r>
        <w:t xml:space="preserve"> </w:t>
      </w:r>
      <w:r>
        <w:t xml:space="preserve">Secure partnerships with 15+ Beijing tech schools for engineer training programs by Q4 2024.</w:t>
      </w:r>
    </w:p>
    <w:p>
      <w:pPr>
        <w:pStyle w:val="FirstParagraph"/>
      </w:pPr>
      <w:r>
        <w:t xml:space="preserve">Monthly reviews will assess metrics against Zhongguancun’s quarterly tech adoption benchmarks to ensure our Marketing Plan remains agile.</w:t>
      </w:r>
    </w:p>
    <w:bookmarkEnd w:id="25"/>
    <w:bookmarkStart w:id="26" w:name="budget-allocation-china-beijing-focus"/>
    <w:p>
      <w:pPr>
        <w:pStyle w:val="Heading2"/>
      </w:pPr>
      <w:r>
        <w:t xml:space="preserve">Budget Allocation (China Beijing Focus)</w:t>
      </w:r>
    </w:p>
    <w:p>
      <w:pPr>
        <w:pStyle w:val="FirstParagraph"/>
      </w:pPr>
      <w:r>
        <w:t xml:space="preserve">65% of the total budget targets Beijing-specific initiatives:</w:t>
      </w:r>
    </w:p>
    <w:p>
      <w:pPr>
        <w:numPr>
          <w:ilvl w:val="0"/>
          <w:numId w:val="1006"/>
        </w:numPr>
        <w:pStyle w:val="Compact"/>
      </w:pPr>
      <w:r>
        <w:t xml:space="preserve">40%: Event sponsorships (Zhongguancun Forum) + local content production.</w:t>
      </w:r>
    </w:p>
    <w:p>
      <w:pPr>
        <w:numPr>
          <w:ilvl w:val="0"/>
          <w:numId w:val="1006"/>
        </w:numPr>
        <w:pStyle w:val="Compact"/>
      </w:pPr>
      <w:r>
        <w:t xml:space="preserve">25%: WeChat/Baidu ad campaigns with Beijing geo-fencing.</w:t>
      </w:r>
    </w:p>
    <w:p>
      <w:pPr>
        <w:numPr>
          <w:ilvl w:val="0"/>
          <w:numId w:val="1006"/>
        </w:numPr>
        <w:pStyle w:val="Compact"/>
      </w:pPr>
      <w:r>
        <w:t xml:space="preserve">15%: Local talent partnerships (university collaborations, beta engineer incentives).</w:t>
      </w:r>
    </w:p>
    <w:p>
      <w:pPr>
        <w:numPr>
          <w:ilvl w:val="0"/>
          <w:numId w:val="1006"/>
        </w:numPr>
        <w:pStyle w:val="Compact"/>
      </w:pPr>
      <w:r>
        <w:t xml:space="preserve">20%: Analytics for real-time campaign optimization in the Beijing market.</w:t>
      </w:r>
    </w:p>
    <w:bookmarkEnd w:id="26"/>
    <w:bookmarkStart w:id="27" w:name="conclusion"/>
    <w:p>
      <w:pPr>
        <w:pStyle w:val="Heading2"/>
      </w:pPr>
      <w:r>
        <w:t xml:space="preserve">Conclusion</w:t>
      </w:r>
    </w:p>
    <w:p>
      <w:pPr>
        <w:pStyle w:val="FirstParagraph"/>
      </w:pPr>
      <w:r>
        <w:t xml:space="preserve">This Marketing Plan is not merely an outreach strategy—it’s a tailored roadmap to dominate the Systems Engineer landscape in China Beijing. By embedding our solutions within Beijing’s regulatory, technical, and cultural context (e.g., prioritizing HarmonyOS integration over Android), we transform from a vendor into a trusted partner. As Beijing accelerates its "2025 AI Leadership" agenda, Systems Engineers will demand solutions that speak to their city’s unique challenges. Our Marketing Plan delivers exactly that: a China Beijing-centric ecosystem where Systems Engineers gain compliance, efficiency, and career growth—all while advancing the city’s technological sovereignty. This is how we’ll make "Systems Engineer" synonymous with innovation in China Beijing.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Engineers in China Beijing</dc:title>
  <dc:creator/>
  <cp:keywords/>
  <dcterms:created xsi:type="dcterms:W3CDTF">2026-07-17T11:03:09Z</dcterms:created>
  <dcterms:modified xsi:type="dcterms:W3CDTF">2026-07-17T11:03:09Z</dcterms:modified>
</cp:coreProperties>
</file>

<file path=docProps/custom.xml><?xml version="1.0" encoding="utf-8"?>
<Properties xmlns="http://schemas.openxmlformats.org/officeDocument/2006/custom-properties" xmlns:vt="http://schemas.openxmlformats.org/officeDocument/2006/docPropsVTypes"/>
</file>