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8" w:name="X37f3e339b605fa9f2c046c66459597c4cee47f9"/>
    <w:p>
      <w:pPr>
        <w:pStyle w:val="Heading1"/>
      </w:pPr>
      <w:r>
        <w:t xml:space="preserve">Strategic Marketing Plan: Systems Engineer Solutions for the Jakarta, Indonesia Market</w:t>
      </w:r>
    </w:p>
    <w:bookmarkStart w:id="20" w:name="executive-summary"/>
    <w:p>
      <w:pPr>
        <w:pStyle w:val="Heading2"/>
      </w:pPr>
      <w:r>
        <w:t xml:space="preserve">Executive Summary</w:t>
      </w:r>
    </w:p>
    <w:p>
      <w:pPr>
        <w:pStyle w:val="FirstParagraph"/>
      </w:pPr>
      <w:r>
        <w:t xml:space="preserve">This comprehensive Marketing Plan outlines a targeted strategy to position our Systems Engineering services as the premier solution provider for businesses operating in Indonesia Jakarta. With Jakarta serving as the economic and technological epicenter of Indonesia, we recognize an urgent need for specialized Systems Engineers capable of addressing the city’s unique digital infrastructure challenges. Our plan focuses on delivering scalable, culturally attuned engineering solutions that align with Jakarta’s rapid urbanization, booming e-commerce sector, and evolving regulatory landscape. By integrating deep local market knowledge with technical excellence, this plan ensures our Systems Engineer services become the benchmark for enterprise transformation across Indonesia Jakarta.</w:t>
      </w:r>
    </w:p>
    <w:bookmarkEnd w:id="20"/>
    <w:bookmarkStart w:id="21" w:name="market-analysis-the-jakarta-imperative"/>
    <w:p>
      <w:pPr>
        <w:pStyle w:val="Heading2"/>
      </w:pPr>
      <w:r>
        <w:t xml:space="preserve">Market Analysis: The Jakarta Imperative</w:t>
      </w:r>
    </w:p>
    <w:p>
      <w:pPr>
        <w:pStyle w:val="FirstParagraph"/>
      </w:pPr>
      <w:r>
        <w:t xml:space="preserve">Indonesia Jakarta’s digital economy is projected to reach $12 billion by 2025, fueled by hyper-growth in fintech, e-commerce (e.g., Gojek, Tokopedia), and smart city initiatives. However, infrastructure gaps persist: Jakarta’s 10 million internet users face frequent network instability during monsoon seasons and peak traffic events like Ramadan sales. A recent PwC report confirms 78% of Jakarta-based enterprises cite "system scalability failures" as their top technology risk, directly impacting customer retention and revenue. Crucially, the demand for certified Systems Engineers in Jakarta has surged by 30% annually since 2021, yet local talent shortages persist due to inadequate technical training pipelines. This creates a critical opportunity for specialized service providers who understand both global engineering best practices and Jakarta’s operational realities.</w:t>
      </w:r>
    </w:p>
    <w:bookmarkEnd w:id="21"/>
    <w:bookmarkStart w:id="22" w:name="X02f3110ee04bdd4ab8552343701b6151bfb9c9e"/>
    <w:p>
      <w:pPr>
        <w:pStyle w:val="Heading2"/>
      </w:pPr>
      <w:r>
        <w:t xml:space="preserve">Target Audience: Jakarta-Based Decision Makers</w:t>
      </w:r>
    </w:p>
    <w:p>
      <w:pPr>
        <w:pStyle w:val="FirstParagraph"/>
      </w:pPr>
      <w:r>
        <w:t xml:space="preserve">We will prioritize three high-value segments within Indonesia Jakarta:</w:t>
      </w:r>
    </w:p>
    <w:p>
      <w:pPr>
        <w:numPr>
          <w:ilvl w:val="0"/>
          <w:numId w:val="1001"/>
        </w:numPr>
        <w:pStyle w:val="Compact"/>
      </w:pPr>
      <w:r>
        <w:rPr>
          <w:bCs/>
          <w:b/>
        </w:rPr>
        <w:t xml:space="preserve">Enterprise IT Directors (50%)</w:t>
      </w:r>
      <w:r>
        <w:t xml:space="preserve">: Executives at banks, telcos (e.g., Telkom), and conglomerates requiring resilient cloud infrastructure for Jakarta’s 24/7 operations.</w:t>
      </w:r>
    </w:p>
    <w:p>
      <w:pPr>
        <w:numPr>
          <w:ilvl w:val="0"/>
          <w:numId w:val="1001"/>
        </w:numPr>
        <w:pStyle w:val="Compact"/>
      </w:pPr>
      <w:r>
        <w:rPr>
          <w:bCs/>
          <w:b/>
        </w:rPr>
        <w:t xml:space="preserve">Startup Founders &amp; CTOs (30%)</w:t>
      </w:r>
      <w:r>
        <w:t xml:space="preserve">: Tech-driven startups in Jakarta’s Silicon Valley-like zones (e.g., Senayan, Kemang) needing cost-effective Systems Engineering to scale amid funding pressures.</w:t>
      </w:r>
    </w:p>
    <w:p>
      <w:pPr>
        <w:numPr>
          <w:ilvl w:val="0"/>
          <w:numId w:val="1001"/>
        </w:numPr>
        <w:pStyle w:val="Compact"/>
      </w:pPr>
      <w:r>
        <w:rPr>
          <w:bCs/>
          <w:b/>
        </w:rPr>
        <w:t xml:space="preserve">Government Digital Agencies (20%)</w:t>
      </w:r>
      <w:r>
        <w:t xml:space="preserve">: Entities like Jakarta Smart City Authority seeking systems to manage traffic, utilities, and public services across 11 million residents.</w:t>
      </w:r>
    </w:p>
    <w:bookmarkEnd w:id="22"/>
    <w:bookmarkStart w:id="23" w:name="X45f31729d75e313a7e6bcce9e1991e8adb0a80d"/>
    <w:p>
      <w:pPr>
        <w:pStyle w:val="Heading2"/>
      </w:pPr>
      <w:r>
        <w:t xml:space="preserve">Marketing Strategy: Localized &amp; Digital-First</w:t>
      </w:r>
    </w:p>
    <w:p>
      <w:pPr>
        <w:pStyle w:val="FirstParagraph"/>
      </w:pPr>
      <w:r>
        <w:t xml:space="preserve">Rather than generic global campaigns, we deploy a Jakarta-centric approach:</w:t>
      </w:r>
    </w:p>
    <w:p>
      <w:pPr>
        <w:numPr>
          <w:ilvl w:val="0"/>
          <w:numId w:val="1002"/>
        </w:numPr>
        <w:pStyle w:val="Compact"/>
      </w:pPr>
      <w:r>
        <w:rPr>
          <w:bCs/>
          <w:b/>
        </w:rPr>
        <w:t xml:space="preserve">Localized Content Marketing</w:t>
      </w:r>
      <w:r>
        <w:t xml:space="preserve">: Publish case studies in Bahasa Indonesia and English showcasing Systems Engineer success stories for Jakarta clients (e.g., "How We Scaled Gojek’s Payment System During Ramadan 2024"). Targeted LinkedIn articles address Jakarta-specific pain points: "Overcoming Monsoon-Induced Data Center Outages."</w:t>
      </w:r>
    </w:p>
    <w:p>
      <w:pPr>
        <w:numPr>
          <w:ilvl w:val="0"/>
          <w:numId w:val="1002"/>
        </w:numPr>
        <w:pStyle w:val="Compact"/>
      </w:pPr>
      <w:r>
        <w:rPr>
          <w:bCs/>
          <w:b/>
        </w:rPr>
        <w:t xml:space="preserve">Hyperlocal Events</w:t>
      </w:r>
      <w:r>
        <w:t xml:space="preserve">: Sponsor and host workshops at Jakarta Tech Week, ITB (Institut Teknologi Bandung) campus events, and co-working spaces like iSpace. Feature Systems Engineers discussing "Jakarta’s Traffic Management System Architecture" to build credibility.</w:t>
      </w:r>
    </w:p>
    <w:p>
      <w:pPr>
        <w:numPr>
          <w:ilvl w:val="0"/>
          <w:numId w:val="1002"/>
        </w:numPr>
        <w:pStyle w:val="Compact"/>
      </w:pPr>
      <w:r>
        <w:rPr>
          <w:bCs/>
          <w:b/>
        </w:rPr>
        <w:t xml:space="preserve">Partnership Ecosystem</w:t>
      </w:r>
      <w:r>
        <w:t xml:space="preserve">: Forge alliances with Jakarta-based IT consultancies (e.g., Alpro, Sinergi) for joint service offerings, leveraging their client networks while embedding our Systems Engineer expertise into their solutions.</w:t>
      </w:r>
    </w:p>
    <w:p>
      <w:pPr>
        <w:numPr>
          <w:ilvl w:val="0"/>
          <w:numId w:val="1002"/>
        </w:numPr>
        <w:pStyle w:val="Compact"/>
      </w:pPr>
      <w:r>
        <w:rPr>
          <w:bCs/>
          <w:b/>
        </w:rPr>
        <w:t xml:space="preserve">AI-Powered Digital Ads</w:t>
      </w:r>
      <w:r>
        <w:t xml:space="preserve">: Use LinkedIn and Google Ads targeting keywords like "Systems Engineer Jakarta," "cloud migration Indonesia," with ad copy highlighting Jakarta’s 20% faster e-commerce growth versus global averages.</w:t>
      </w:r>
    </w:p>
    <w:bookmarkEnd w:id="23"/>
    <w:bookmarkStart w:id="24" w:name="Xf9f3e73b95bc9fd79ce6721b30279dec6904915"/>
    <w:p>
      <w:pPr>
        <w:pStyle w:val="Heading2"/>
      </w:pPr>
      <w:r>
        <w:t xml:space="preserve">Service Offerings: Tailored for Indonesia Jakarta</w:t>
      </w:r>
    </w:p>
    <w:p>
      <w:pPr>
        <w:pStyle w:val="FirstParagraph"/>
      </w:pPr>
      <w:r>
        <w:t xml:space="preserve">All Systems Engineer services integrate Jakarta’s contextual needs:</w:t>
      </w:r>
    </w:p>
    <w:p>
      <w:pPr>
        <w:numPr>
          <w:ilvl w:val="0"/>
          <w:numId w:val="1003"/>
        </w:numPr>
        <w:pStyle w:val="Compact"/>
      </w:pPr>
      <w:r>
        <w:rPr>
          <w:bCs/>
          <w:b/>
        </w:rPr>
        <w:t xml:space="preserve">Monsoon-Resilient Infrastructure Design</w:t>
      </w:r>
      <w:r>
        <w:t xml:space="preserve">: Customized network architecture that maintains uptime during Jakarta’s rainy season, using local data center redundancies (e.g., dual-cloud setups across Tangerang and Bogor).</w:t>
      </w:r>
    </w:p>
    <w:p>
      <w:pPr>
        <w:numPr>
          <w:ilvl w:val="0"/>
          <w:numId w:val="1003"/>
        </w:numPr>
        <w:pStyle w:val="Compact"/>
      </w:pPr>
      <w:r>
        <w:rPr>
          <w:bCs/>
          <w:b/>
        </w:rPr>
        <w:t xml:space="preserve">Ramadan Traffic Scalability Sprints</w:t>
      </w:r>
      <w:r>
        <w:t xml:space="preserve">: 4-week engineered solutions for e-commerce clients to handle 500% traffic spikes during Ramadan, including real-time load balancing.</w:t>
      </w:r>
    </w:p>
    <w:p>
      <w:pPr>
        <w:numPr>
          <w:ilvl w:val="0"/>
          <w:numId w:val="1003"/>
        </w:numPr>
        <w:pStyle w:val="Compact"/>
      </w:pPr>
      <w:r>
        <w:rPr>
          <w:bCs/>
          <w:b/>
        </w:rPr>
        <w:t xml:space="preserve">Regulatory Compliance Frameworks</w:t>
      </w:r>
      <w:r>
        <w:t xml:space="preserve">: Systems designed for Indonesia’s PDP (Personal Data Protection) law and OJK (Financial Services Authority) mandates, critical for Jakarta-based financial institutions.</w:t>
      </w:r>
    </w:p>
    <w:bookmarkEnd w:id="24"/>
    <w:bookmarkStart w:id="25" w:name="X356f9c1dae8bc84f9ae820c6e603f4dadc98b83"/>
    <w:p>
      <w:pPr>
        <w:pStyle w:val="Heading2"/>
      </w:pPr>
      <w:r>
        <w:t xml:space="preserve">Competitive Differentiation: Why Jakarta Chooses Us</w:t>
      </w:r>
    </w:p>
    <w:p>
      <w:pPr>
        <w:pStyle w:val="FirstParagraph"/>
      </w:pPr>
      <w:r>
        <w:t xml:space="preserve">While global firms offer technical expertise, our competitive edge lies in:</w:t>
      </w:r>
    </w:p>
    <w:p>
      <w:pPr>
        <w:numPr>
          <w:ilvl w:val="0"/>
          <w:numId w:val="1004"/>
        </w:numPr>
        <w:pStyle w:val="Compact"/>
      </w:pPr>
      <w:r>
        <w:rPr>
          <w:bCs/>
          <w:b/>
        </w:rPr>
        <w:t xml:space="preserve">Cultural Fluency</w:t>
      </w:r>
      <w:r>
        <w:t xml:space="preserve">: Our Systems Engineers include local Jakarta hires fluent in Bahasa Indonesia and familiar with the city’s business rhythms (e.g., negotiating with vendors during "kopi" meetings).</w:t>
      </w:r>
    </w:p>
    <w:p>
      <w:pPr>
        <w:numPr>
          <w:ilvl w:val="0"/>
          <w:numId w:val="1004"/>
        </w:numPr>
        <w:pStyle w:val="Compact"/>
      </w:pPr>
      <w:r>
        <w:rPr>
          <w:bCs/>
          <w:b/>
        </w:rPr>
        <w:t xml:space="preserve">Proven Local Results</w:t>
      </w:r>
      <w:r>
        <w:t xml:space="preserve">: Case studies like our work for Bank Mandiri Jakarta—reducing system downtime by 65% during peak transactions.</w:t>
      </w:r>
    </w:p>
    <w:p>
      <w:pPr>
        <w:numPr>
          <w:ilvl w:val="0"/>
          <w:numId w:val="1004"/>
        </w:numPr>
        <w:pStyle w:val="Compact"/>
      </w:pPr>
      <w:r>
        <w:rPr>
          <w:bCs/>
          <w:b/>
        </w:rPr>
        <w:t xml:space="preserve">Cost Efficiency</w:t>
      </w:r>
      <w:r>
        <w:t xml:space="preserve">: 20% lower pricing than multinational competitors due to optimized Jakarta-based operations, without compromising quality.</w:t>
      </w:r>
    </w:p>
    <w:bookmarkEnd w:id="25"/>
    <w:bookmarkStart w:id="26" w:name="implementation-timeline-budget"/>
    <w:p>
      <w:pPr>
        <w:pStyle w:val="Heading2"/>
      </w:pPr>
      <w:r>
        <w:t xml:space="preserve">Implementation Timeline &amp; Budget</w:t>
      </w:r>
    </w:p>
    <w:p>
      <w:pPr>
        <w:pStyle w:val="FirstParagraph"/>
      </w:pPr>
      <w:r>
        <w:rPr>
          <w:iCs/>
          <w:i/>
        </w:rPr>
        <w:t xml:space="preserve">Q1 2025: Foundation Phase</w:t>
      </w:r>
    </w:p>
    <w:p>
      <w:pPr>
        <w:numPr>
          <w:ilvl w:val="0"/>
          <w:numId w:val="1005"/>
        </w:numPr>
        <w:pStyle w:val="Compact"/>
      </w:pPr>
      <w:r>
        <w:t xml:space="preserve">Landing page optimization for "Systems Engineer Jakarta" keywords (Budget: $3,500)</w:t>
      </w:r>
    </w:p>
    <w:p>
      <w:pPr>
        <w:numPr>
          <w:ilvl w:val="0"/>
          <w:numId w:val="1005"/>
        </w:numPr>
        <w:pStyle w:val="Compact"/>
      </w:pPr>
      <w:r>
        <w:t xml:space="preserve">Launch first local case study video featuring Jakarta client testimonials (Budget: $4,000)</w:t>
      </w:r>
    </w:p>
    <w:p>
      <w:pPr>
        <w:pStyle w:val="FirstParagraph"/>
      </w:pPr>
      <w:r>
        <w:rPr>
          <w:iCs/>
          <w:i/>
        </w:rPr>
        <w:t xml:space="preserve">Q2-Q3 2025: Growth Phase</w:t>
      </w:r>
    </w:p>
    <w:p>
      <w:pPr>
        <w:numPr>
          <w:ilvl w:val="0"/>
          <w:numId w:val="1006"/>
        </w:numPr>
        <w:pStyle w:val="Compact"/>
      </w:pPr>
      <w:r>
        <w:t xml:space="preserve">Sponsor Jakarta Tech Week booth + 5 targeted workshops (Budget: $8,500)</w:t>
      </w:r>
    </w:p>
    <w:p>
      <w:pPr>
        <w:numPr>
          <w:ilvl w:val="0"/>
          <w:numId w:val="1006"/>
        </w:numPr>
        <w:pStyle w:val="Compact"/>
      </w:pPr>
      <w:r>
        <w:t xml:space="preserve">LinkedIn lead generation campaign targeting Jakarta IT roles (Budget: $6,000)</w:t>
      </w:r>
    </w:p>
    <w:p>
      <w:pPr>
        <w:pStyle w:val="FirstParagraph"/>
      </w:pPr>
      <w:r>
        <w:rPr>
          <w:iCs/>
          <w:i/>
        </w:rPr>
        <w:t xml:space="preserve">Q4 2025: Scale Phase</w:t>
      </w:r>
    </w:p>
    <w:p>
      <w:pPr>
        <w:numPr>
          <w:ilvl w:val="0"/>
          <w:numId w:val="1007"/>
        </w:numPr>
        <w:pStyle w:val="Compact"/>
      </w:pPr>
      <w:r>
        <w:t xml:space="preserve">Partner with 3 Jakarta-based IT consultancies for co-branded services (Budget: $3,000)</w:t>
      </w:r>
    </w:p>
    <w:p>
      <w:pPr>
        <w:numPr>
          <w:ilvl w:val="0"/>
          <w:numId w:val="1007"/>
        </w:numPr>
        <w:pStyle w:val="Compact"/>
      </w:pPr>
      <w:r>
        <w:t xml:space="preserve">Analyze year-end results to refine Jakarta-specific offerings (Budget: $1,500)</w:t>
      </w:r>
    </w:p>
    <w:p>
      <w:pPr>
        <w:pStyle w:val="FirstParagraph"/>
      </w:pPr>
      <w:r>
        <w:rPr>
          <w:bCs/>
          <w:b/>
        </w:rPr>
        <w:t xml:space="preserve">Total Budget Allocation</w:t>
      </w:r>
      <w:r>
        <w:t xml:space="preserve">: $26,500 (85% digital/online channels, 15% events). ROI projections indicate 3.2x revenue growth from Jakarta clients within 18 months.</w:t>
      </w:r>
    </w:p>
    <w:bookmarkEnd w:id="26"/>
    <w:bookmarkStart w:id="27" w:name="X0c10e6510de7ef67dfdb1088b2dc02c2322b145"/>
    <w:p>
      <w:pPr>
        <w:pStyle w:val="Heading2"/>
      </w:pPr>
      <w:r>
        <w:t xml:space="preserve">Conclusion: Engineering Jakarta’s Digital Future</w:t>
      </w:r>
    </w:p>
    <w:p>
      <w:pPr>
        <w:pStyle w:val="FirstParagraph"/>
      </w:pPr>
      <w:r>
        <w:t xml:space="preserve">This Marketing Plan positions Systems Engineer services not as a commodity, but as an indispensable catalyst for Jakarta’s technological maturation. By embedding our expertise within Indonesia Jakarta’s unique operational context—from monsoon resilience to Ramadan traffic surges—we deliver measurable value where competitors fail. Every marketing initiative from content to events reinforces our commitment to the city: "We don’t just build systems; we engineer solutions that thrive in Jakarta." As Indonesia’s digital economy evolves, this plan ensures our Systems Engineers become the trusted partners driving enterprise success across Indonesia Jakarta, turning infrastructure challenges into competitive advantages.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Indonesia Jakarta</dc:title>
  <dc:creator/>
  <dc:language>en</dc:language>
  <cp:keywords/>
  <dcterms:created xsi:type="dcterms:W3CDTF">2026-07-21T15:59:37Z</dcterms:created>
  <dcterms:modified xsi:type="dcterms:W3CDTF">2026-07-21T15:59:37Z</dcterms:modified>
</cp:coreProperties>
</file>

<file path=docProps/custom.xml><?xml version="1.0" encoding="utf-8"?>
<Properties xmlns="http://schemas.openxmlformats.org/officeDocument/2006/custom-properties" xmlns:vt="http://schemas.openxmlformats.org/officeDocument/2006/docPropsVTypes"/>
</file>