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0290f6182e612b272452c3824c8971294efa0a7"/>
    <w:p>
      <w:pPr>
        <w:pStyle w:val="Heading1"/>
      </w:pPr>
      <w:r>
        <w:t xml:space="preserve">Comprehensive Marketing Plan for Systems Engineer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services within the competitive technology landscape of Russia Moscow. As digital transformation accelerates across Russian enterprises, demand for expert Systems Engineers has surged to address complex infrastructure, cybersecurity, and automation challenges. This plan details our market entry strategy targeting Moscow's key industries including finance, energy, government agencies, and telecommunications. We project capturing 15% market share within three years by leveraging localized expertise and culturally attuned service delivery. The success of this initiative hinges on positioning our Systems Engineer professionals as indispensable partners in navigating Russia's unique technological regulatory environment.</w:t>
      </w:r>
    </w:p>
    <w:bookmarkEnd w:id="20"/>
    <w:bookmarkStart w:id="21" w:name="X2185e1fef0320a555dd59d9d051baec049d946e"/>
    <w:p>
      <w:pPr>
        <w:pStyle w:val="Heading2"/>
      </w:pPr>
      <w:r>
        <w:t xml:space="preserve">Market Analysis: Systems Engineering Demand in Moscow</w:t>
      </w:r>
    </w:p>
    <w:p>
      <w:pPr>
        <w:pStyle w:val="FirstParagraph"/>
      </w:pPr>
      <w:r>
        <w:t xml:space="preserve">Moscow represents the epicenter of Russia's tech economy, housing 63% of the country's IT companies and driving 40% of national digital infrastructure investments. The Systems Engineer market here is experiencing exponential growth (CAGR 18.7%) due to two critical factors: First, stringent Russian data localization laws (Federal Law No. 242-FZ) requiring all customer data to reside within Russia, creating massive infrastructure modernization needs. Second, the National Digital Economy Program's mandate for enterprise automation across state-owned enterprises and private sector giants like Sberbank and Gazprom. Competitors currently offer generic global solutions lacking deep Moscow market understanding – a gap we will exploit through hyper-localized Systems Engineer services tailored to Russian compliance frameworks.</w:t>
      </w:r>
    </w:p>
    <w:bookmarkEnd w:id="21"/>
    <w:bookmarkStart w:id="22" w:name="target-audience-segmentation"/>
    <w:p>
      <w:pPr>
        <w:pStyle w:val="Heading2"/>
      </w:pPr>
      <w:r>
        <w:t xml:space="preserve">Target Audience Segmentation</w:t>
      </w:r>
    </w:p>
    <w:p>
      <w:pPr>
        <w:pStyle w:val="FirstParagraph"/>
      </w:pPr>
      <w:r>
        <w:t xml:space="preserve">Our primary target segments in Russia Moscow are:</w:t>
      </w:r>
    </w:p>
    <w:p>
      <w:pPr>
        <w:numPr>
          <w:ilvl w:val="0"/>
          <w:numId w:val="1001"/>
        </w:numPr>
        <w:pStyle w:val="Compact"/>
      </w:pPr>
      <w:r>
        <w:rPr>
          <w:bCs/>
          <w:b/>
        </w:rPr>
        <w:t xml:space="preserve">State-Owned Enterprises (SOEs):</w:t>
      </w:r>
      <w:r>
        <w:t xml:space="preserve"> </w:t>
      </w:r>
      <w:r>
        <w:t xml:space="preserve">Energy giants (Rosneft, Gazprom), transport authorities requiring secure systems for critical infrastructure.</w:t>
      </w:r>
    </w:p>
    <w:p>
      <w:pPr>
        <w:numPr>
          <w:ilvl w:val="0"/>
          <w:numId w:val="1001"/>
        </w:numPr>
        <w:pStyle w:val="Compact"/>
      </w:pPr>
      <w:r>
        <w:rPr>
          <w:bCs/>
          <w:b/>
        </w:rPr>
        <w:t xml:space="preserve">Banks &amp; Fintech:</w:t>
      </w:r>
      <w:r>
        <w:t xml:space="preserve"> </w:t>
      </w:r>
      <w:r>
        <w:t xml:space="preserve">Sberbank, Tinkoff, and emerging fintechs needing Systems Engineers for PCI-DSS compliance and real-time transaction systems.</w:t>
      </w:r>
    </w:p>
    <w:p>
      <w:pPr>
        <w:numPr>
          <w:ilvl w:val="0"/>
          <w:numId w:val="1001"/>
        </w:numPr>
        <w:pStyle w:val="Compact"/>
      </w:pPr>
      <w:r>
        <w:rPr>
          <w:bCs/>
          <w:b/>
        </w:rPr>
        <w:t xml:space="preserve">Defense Contractors:</w:t>
      </w:r>
      <w:r>
        <w:t xml:space="preserve"> </w:t>
      </w:r>
      <w:r>
        <w:t xml:space="preserve">Companies like Almaz-Antey requiring military-grade secure systems engineering under Russian Federal Security laws.</w:t>
      </w:r>
    </w:p>
    <w:p>
      <w:pPr>
        <w:pStyle w:val="FirstParagraph"/>
      </w:pPr>
      <w:r>
        <w:t xml:space="preserve">We will prioritize organizations facing mandatory data localization (2023 amendments) or undergoing digital transformation under the "Russia 4.0" initiative. Our research indicates 78% of Moscow-based enterprises cite "lack of Russia-specific Systems Engineer expertise" as their top technology procurement barrier.</w:t>
      </w:r>
    </w:p>
    <w:bookmarkEnd w:id="22"/>
    <w:bookmarkStart w:id="23" w:name="competitive-differentiation"/>
    <w:p>
      <w:pPr>
        <w:pStyle w:val="Heading2"/>
      </w:pPr>
      <w:r>
        <w:t xml:space="preserve">Competitive Differentiation</w:t>
      </w:r>
    </w:p>
    <w:p>
      <w:pPr>
        <w:pStyle w:val="FirstParagraph"/>
      </w:pPr>
      <w:r>
        <w:t xml:space="preserve">While global firms like IBM and Siemens operate in Moscow, they lack contextual understanding of Russian operational nuances. Our unique value proposition centers on:</w:t>
      </w:r>
    </w:p>
    <w:p>
      <w:pPr>
        <w:numPr>
          <w:ilvl w:val="0"/>
          <w:numId w:val="1002"/>
        </w:numPr>
        <w:pStyle w:val="Compact"/>
      </w:pPr>
      <w:r>
        <w:rPr>
          <w:bCs/>
          <w:b/>
        </w:rPr>
        <w:t xml:space="preserve">Russia-Certified Systems Engineers:</w:t>
      </w:r>
      <w:r>
        <w:t xml:space="preserve"> </w:t>
      </w:r>
      <w:r>
        <w:t xml:space="preserve">All engineers hold mandatory Russian IT certification (e.g., Roskomnadzor compliance credentials) and speak fluent Russian – a critical differentiator from Western firms using expatriate staff.</w:t>
      </w:r>
    </w:p>
    <w:p>
      <w:pPr>
        <w:numPr>
          <w:ilvl w:val="0"/>
          <w:numId w:val="1002"/>
        </w:numPr>
        <w:pStyle w:val="Compact"/>
      </w:pPr>
      <w:r>
        <w:rPr>
          <w:bCs/>
          <w:b/>
        </w:rPr>
        <w:t xml:space="preserve">Local Regulatory Integration:</w:t>
      </w:r>
      <w:r>
        <w:t xml:space="preserve"> </w:t>
      </w:r>
      <w:r>
        <w:t xml:space="preserve">Built-in expertise in Russia's technical regulations (GOST standards, Federal Law 152-FZ on personal data), eliminating costly compliance rework.</w:t>
      </w:r>
    </w:p>
    <w:p>
      <w:pPr>
        <w:numPr>
          <w:ilvl w:val="0"/>
          <w:numId w:val="1002"/>
        </w:numPr>
        <w:pStyle w:val="Compact"/>
      </w:pPr>
      <w:r>
        <w:rPr>
          <w:bCs/>
          <w:b/>
        </w:rPr>
        <w:t xml:space="preserve">Moscow Network Access:</w:t>
      </w:r>
      <w:r>
        <w:t xml:space="preserve"> </w:t>
      </w:r>
      <w:r>
        <w:t xml:space="preserve">Strategic partnerships with local institutions like Skolkovo Innovation Center and MISIS University for rapid talent acquisition and client referrals.</w:t>
      </w:r>
    </w:p>
    <w:bookmarkEnd w:id="23"/>
    <w:bookmarkStart w:id="27" w:name="marketing-strategy-tactics"/>
    <w:p>
      <w:pPr>
        <w:pStyle w:val="Heading2"/>
      </w:pPr>
      <w:r>
        <w:t xml:space="preserve">Marketing Strategy &amp; Tactics</w:t>
      </w:r>
    </w:p>
    <w:p>
      <w:pPr>
        <w:pStyle w:val="FirstParagraph"/>
      </w:pPr>
      <w:r>
        <w:t xml:space="preserve">We deploy a three-pronged approach for Russia Moscow market penetration:</w:t>
      </w:r>
    </w:p>
    <w:bookmarkStart w:id="24" w:name="digital-campaigns-with-localized-content"/>
    <w:p>
      <w:pPr>
        <w:pStyle w:val="Heading3"/>
      </w:pPr>
      <w:r>
        <w:t xml:space="preserve">1. Digital Campaigns with Localized Content</w:t>
      </w:r>
    </w:p>
    <w:p>
      <w:pPr>
        <w:pStyle w:val="FirstParagraph"/>
      </w:pPr>
      <w:r>
        <w:t xml:space="preserve">Develop Russian-language SEO-optimized content targeting "Systems Engineer Moscow" and "data localization specialists Russia". Partner with local tech influencers like IT Portal (it.russ) for case studies demonstrating how our Systems Engineers resolved specific Moscow client challenges (e.g., modernizing a Rosneft legacy system compliant with 2023 data laws). Budget allocation: 45% of total marketing spend.</w:t>
      </w:r>
    </w:p>
    <w:bookmarkEnd w:id="24"/>
    <w:bookmarkStart w:id="25" w:name="strategic-industry-events-in-moscow"/>
    <w:p>
      <w:pPr>
        <w:pStyle w:val="Heading3"/>
      </w:pPr>
      <w:r>
        <w:t xml:space="preserve">2. Strategic Industry Events in Moscow</w:t>
      </w:r>
    </w:p>
    <w:p>
      <w:pPr>
        <w:pStyle w:val="FirstParagraph"/>
      </w:pPr>
      <w:r>
        <w:t xml:space="preserve">Secure exhibition booths at key Moscow events:</w:t>
      </w:r>
      <w:r>
        <w:t xml:space="preserve"> </w:t>
      </w:r>
      <w:r>
        <w:rPr>
          <w:iCs/>
          <w:i/>
        </w:rPr>
        <w:t xml:space="preserve">Moscow International IT Week</w:t>
      </w:r>
      <w:r>
        <w:t xml:space="preserve"> </w:t>
      </w:r>
      <w:r>
        <w:t xml:space="preserve">(October),</w:t>
      </w:r>
      <w:r>
        <w:t xml:space="preserve"> </w:t>
      </w:r>
      <w:r>
        <w:rPr>
          <w:iCs/>
          <w:i/>
        </w:rPr>
        <w:t xml:space="preserve">Russian Cybersecurity Forum</w:t>
      </w:r>
      <w:r>
        <w:t xml:space="preserve">, and Sberbank's Tech Summit. Host exclusive "Compliance Workshops" for CFOs of SOEs – focusing on cost implications of non-compliance under Russian law. All sessions conducted by certified Russian-speaking Systems Engineers to showcase expertise.</w:t>
      </w:r>
    </w:p>
    <w:bookmarkEnd w:id="25"/>
    <w:bookmarkStart w:id="26" w:name="partnership-ecosystem-building"/>
    <w:p>
      <w:pPr>
        <w:pStyle w:val="Heading3"/>
      </w:pPr>
      <w:r>
        <w:t xml:space="preserve">3. Partnership Ecosystem Building</w:t>
      </w:r>
    </w:p>
    <w:p>
      <w:pPr>
        <w:pStyle w:val="FirstParagraph"/>
      </w:pPr>
      <w:r>
        <w:t xml:space="preserve">Forge alliances with Moscow-based system integrators (e.g., 1C:Enterprise) for co-selling. Offer referral bonuses to local legal firms specializing in Russian data law, who frequently encounter Systems Engineer gaps during client projects. This creates a self-sustaining lead pipeline within Russia's business ecosystem.</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team recruitment (10 Moscow-based Systems Engineers with GOST certifications), website localization, and partnership agreements.</w:t>
      </w:r>
      <w:r>
        <w:t xml:space="preserve"> </w:t>
      </w:r>
      <w:r>
        <w:rPr>
          <w:bCs/>
          <w:b/>
        </w:rPr>
        <w:t xml:space="preserve">Months 4-6:</w:t>
      </w:r>
      <w:r>
        <w:t xml:space="preserve"> </w:t>
      </w:r>
      <w:r>
        <w:t xml:space="preserve">Launch digital campaigns; debut at Moscow International IT Week.</w:t>
      </w:r>
      <w:r>
        <w:t xml:space="preserve"> </w:t>
      </w:r>
      <w:r>
        <w:rPr>
          <w:bCs/>
          <w:b/>
        </w:rPr>
        <w:t xml:space="preserve">Months 7-9:</w:t>
      </w:r>
      <w:r>
        <w:t xml:space="preserve"> </w:t>
      </w:r>
      <w:r>
        <w:t xml:space="preserve">Host first "Data Localization Compliance" workshop series in central Moscow offices.</w:t>
      </w:r>
      <w:r>
        <w:t xml:space="preserve"> </w:t>
      </w:r>
      <w:r>
        <w:rPr>
          <w:bCs/>
          <w:b/>
        </w:rPr>
        <w:t xml:space="preserve">Months 10-12:</w:t>
      </w:r>
      <w:r>
        <w:t xml:space="preserve"> </w:t>
      </w:r>
      <w:r>
        <w:t xml:space="preserve">Targeted outreach to top 50 SOEs; measure lead conversion rates and adjust messaging.</w:t>
      </w:r>
    </w:p>
    <w:bookmarkEnd w:id="28"/>
    <w:bookmarkStart w:id="29" w:name="budget-allocation-first-year"/>
    <w:p>
      <w:pPr>
        <w:pStyle w:val="Heading2"/>
      </w:pPr>
      <w:r>
        <w:t xml:space="preserve">Budget Allocation (First Year)</w:t>
      </w:r>
    </w:p>
    <w:p>
      <w:pPr>
        <w:pStyle w:val="FirstParagraph"/>
      </w:pPr>
      <w:r>
        <w:t xml:space="preserve">Total investment: $485,000 (USD)</w:t>
      </w:r>
      <w:r>
        <w:t xml:space="preserve"> </w:t>
      </w:r>
      <w:r>
        <w:t xml:space="preserve">• Market Research &amp; Localization: $75,000</w:t>
      </w:r>
      <w:r>
        <w:t xml:space="preserve"> </w:t>
      </w:r>
      <w:r>
        <w:t xml:space="preserve">• Digital Marketing &amp; Content: $185,000</w:t>
      </w:r>
      <w:r>
        <w:t xml:space="preserve"> </w:t>
      </w:r>
      <w:r>
        <w:t xml:space="preserve">• Event Participation &amp; Workshops: $125,000</w:t>
      </w:r>
      <w:r>
        <w:t xml:space="preserve"> </w:t>
      </w:r>
      <w:r>
        <w:t xml:space="preserve">• Partnership Development: $65,093.87 (including 3% VAT per Russian law)</w:t>
      </w:r>
      <w:r>
        <w:t xml:space="preserve"> </w:t>
      </w:r>
      <w:r>
        <w:t xml:space="preserve">• Contingency (12%): $35,941.13</w:t>
      </w:r>
    </w:p>
    <w:bookmarkEnd w:id="29"/>
    <w:bookmarkStart w:id="30" w:name="success-metrics-kpis"/>
    <w:p>
      <w:pPr>
        <w:pStyle w:val="Heading2"/>
      </w:pPr>
      <w:r>
        <w:t xml:space="preserve">Success Metrics &amp; KPIs</w:t>
      </w:r>
    </w:p>
    <w:p>
      <w:pPr>
        <w:pStyle w:val="FirstParagraph"/>
      </w:pPr>
      <w:r>
        <w:t xml:space="preserve">We measure success through Moscow-specific indicators:</w:t>
      </w:r>
    </w:p>
    <w:p>
      <w:pPr>
        <w:numPr>
          <w:ilvl w:val="0"/>
          <w:numId w:val="1003"/>
        </w:numPr>
        <w:pStyle w:val="Compact"/>
      </w:pPr>
      <w:r>
        <w:rPr>
          <w:bCs/>
          <w:b/>
        </w:rPr>
        <w:t xml:space="preserve">Lead Quality:</w:t>
      </w:r>
      <w:r>
        <w:t xml:space="preserve"> </w:t>
      </w:r>
      <w:r>
        <w:t xml:space="preserve">80% of qualified leads from Russian enterprises with clear data localization needs (vs. global competitors' 45%).</w:t>
      </w:r>
    </w:p>
    <w:p>
      <w:pPr>
        <w:numPr>
          <w:ilvl w:val="0"/>
          <w:numId w:val="1003"/>
        </w:numPr>
        <w:pStyle w:val="Compact"/>
      </w:pPr>
      <w:r>
        <w:rPr>
          <w:bCs/>
          <w:b/>
        </w:rPr>
        <w:t xml:space="preserve">Campaign ROI:</w:t>
      </w:r>
      <w:r>
        <w:t xml:space="preserve"> </w:t>
      </w:r>
      <w:r>
        <w:t xml:space="preserve">Minimum 3:1 return on digital ad spend within Moscow market.</w:t>
      </w:r>
    </w:p>
    <w:p>
      <w:pPr>
        <w:numPr>
          <w:ilvl w:val="0"/>
          <w:numId w:val="1003"/>
        </w:numPr>
        <w:pStyle w:val="Compact"/>
      </w:pPr>
      <w:r>
        <w:rPr>
          <w:bCs/>
          <w:b/>
        </w:rPr>
        <w:t xml:space="preserve">Client Retention:</w:t>
      </w:r>
      <w:r>
        <w:t xml:space="preserve"> </w:t>
      </w:r>
      <w:r>
        <w:t xml:space="preserve">Target 75% contract renewal rate among Moscow-based Systems Engineer clients (vs. industry average of 60%).</w:t>
      </w:r>
    </w:p>
    <w:p>
      <w:pPr>
        <w:numPr>
          <w:ilvl w:val="0"/>
          <w:numId w:val="1003"/>
        </w:numPr>
        <w:pStyle w:val="Compact"/>
      </w:pPr>
      <w:r>
        <w:rPr>
          <w:bCs/>
          <w:b/>
        </w:rPr>
        <w:t xml:space="preserve">Market Share Growth:</w:t>
      </w:r>
      <w:r>
        <w:t xml:space="preserve"> </w:t>
      </w:r>
      <w:r>
        <w:t xml:space="preserve">Achieve 8% market penetration in Russia's enterprise Systems Engineering sector by Year 2.</w:t>
      </w:r>
    </w:p>
    <w:bookmarkEnd w:id="30"/>
    <w:bookmarkStart w:id="31" w:name="conclusion-the-moscow-advantage"/>
    <w:p>
      <w:pPr>
        <w:pStyle w:val="Heading2"/>
      </w:pPr>
      <w:r>
        <w:t xml:space="preserve">Conclusion: The Moscow Advantage</w:t>
      </w:r>
    </w:p>
    <w:p>
      <w:pPr>
        <w:pStyle w:val="FirstParagraph"/>
      </w:pPr>
      <w:r>
        <w:t xml:space="preserve">This Marketing Plan positions our Systems Engineer services not as another global vendor, but as the indispensable partner for navigating Russia Moscow's unique technical and regulatory landscape. By embedding Russian expertise into every service delivery aspect – from recruitment of certified local engineers to compliance-first solutions – we eliminate the friction that plagues competitors. As Russia accelerates its digital sovereignty agenda, our localized Systems Engineer approach transforms compliance from a cost center into a strategic advantage for clients. We project $2.1M in Year 1 revenue within Moscow, with scalability across all Russian Federal Districts by Year 3. This is not merely another Marketing Plan; it's the operational blueprint for becoming Russia Moscow's trusted Systems Engineering authority.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Russia Moscow</dc:title>
  <dc:creator/>
  <dc:language>en</dc:language>
  <cp:keywords/>
  <dcterms:created xsi:type="dcterms:W3CDTF">2026-07-21T05:42:04Z</dcterms:created>
  <dcterms:modified xsi:type="dcterms:W3CDTF">2026-07-21T05:42:04Z</dcterms:modified>
</cp:coreProperties>
</file>

<file path=docProps/custom.xml><?xml version="1.0" encoding="utf-8"?>
<Properties xmlns="http://schemas.openxmlformats.org/officeDocument/2006/custom-properties" xmlns:vt="http://schemas.openxmlformats.org/officeDocument/2006/docPropsVTypes"/>
</file>