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for</w:t>
      </w:r>
      <w:r>
        <w:t xml:space="preserve"> </w:t>
      </w:r>
      <w:r>
        <w:t xml:space="preserve">Moscow</w:t>
      </w:r>
      <w:r>
        <w:t xml:space="preserve"> </w:t>
      </w:r>
      <w:r>
        <w:t xml:space="preserve">Education</w:t>
      </w:r>
      <w:r>
        <w:t xml:space="preserve"> </w:t>
      </w:r>
      <w:r>
        <w:t xml:space="preserve">Sector</w:t>
      </w:r>
    </w:p>
    <w:bookmarkStart w:id="33" w:name="X6ca72486ced4876f32453f763e521242a3c02a7"/>
    <w:p>
      <w:pPr>
        <w:pStyle w:val="Heading1"/>
      </w:pPr>
      <w:r>
        <w:t xml:space="preserve">Comprehensive Marketing Plan for Teacher Primary in Russia, Moscow Region</w:t>
      </w:r>
    </w:p>
    <w:bookmarkStart w:id="20" w:name="executive-summary"/>
    <w:p>
      <w:pPr>
        <w:pStyle w:val="Heading2"/>
      </w:pPr>
      <w:r>
        <w:t xml:space="preserve">Executive Summary</w:t>
      </w:r>
    </w:p>
    <w:p>
      <w:pPr>
        <w:pStyle w:val="FirstParagraph"/>
      </w:pPr>
      <w:r>
        <w:t xml:space="preserve">This Marketing Plan outlines a targeted strategy to launch and scale "Teacher Primary" – an innovative professional development platform specifically designed for primary school educators across Moscow, Russia. Aligning with the Russian Ministry of Education's 2030 digitalization goals and addressing acute Moscow-specific challenges like teacher burnout (reported at 68% in municipal schools by Rosstat), this plan leverages localized insights to capture market share among 15,000+ primary teachers in Moscow. The initiative positions Teacher Primary as the essential solution for curriculum compliance, digital pedagogy mastery, and professional retention within Russia’s most competitive education market.</w:t>
      </w:r>
    </w:p>
    <w:bookmarkEnd w:id="20"/>
    <w:bookmarkStart w:id="21" w:name="market-analysis-russia-moscow-context"/>
    <w:p>
      <w:pPr>
        <w:pStyle w:val="Heading2"/>
      </w:pPr>
      <w:r>
        <w:t xml:space="preserve">Market Analysis: Russia Moscow Context</w:t>
      </w:r>
    </w:p>
    <w:p>
      <w:pPr>
        <w:pStyle w:val="FirstParagraph"/>
      </w:pPr>
      <w:r>
        <w:t xml:space="preserve">The Moscow education ecosystem presents unique opportunities and constraints. With 85% of Russia's top-tier schools located in the city (Moscow Department of Education, 2023), competition for qualified primary educators is fierce. Current challenges include:</w:t>
      </w:r>
    </w:p>
    <w:p>
      <w:pPr>
        <w:numPr>
          <w:ilvl w:val="0"/>
          <w:numId w:val="1001"/>
        </w:numPr>
        <w:pStyle w:val="Compact"/>
      </w:pPr>
      <w:r>
        <w:rPr>
          <w:bCs/>
          <w:b/>
        </w:rPr>
        <w:t xml:space="preserve">Curriculum Shifts:</w:t>
      </w:r>
      <w:r>
        <w:t xml:space="preserve"> </w:t>
      </w:r>
      <w:r>
        <w:t xml:space="preserve">Moscow has accelerated implementation of the new "Digital Pedagogy" framework (Ministry Order #456, 2023), requiring all primary teachers to integrate AI tools by 2025.</w:t>
      </w:r>
    </w:p>
    <w:p>
      <w:pPr>
        <w:numPr>
          <w:ilvl w:val="0"/>
          <w:numId w:val="1001"/>
        </w:numPr>
        <w:pStyle w:val="Compact"/>
      </w:pPr>
      <w:r>
        <w:rPr>
          <w:bCs/>
          <w:b/>
        </w:rPr>
        <w:t xml:space="preserve">Teacher Shortage:</w:t>
      </w:r>
      <w:r>
        <w:t xml:space="preserve"> </w:t>
      </w:r>
      <w:r>
        <w:t xml:space="preserve">Over 1,800 vacancies for primary school roles in Moscow (Q1 2024 data), with a critical need for specialized training programs.</w:t>
      </w:r>
    </w:p>
    <w:p>
      <w:pPr>
        <w:numPr>
          <w:ilvl w:val="0"/>
          <w:numId w:val="1001"/>
        </w:numPr>
        <w:pStyle w:val="Compact"/>
      </w:pPr>
      <w:r>
        <w:rPr>
          <w:bCs/>
          <w:b/>
        </w:rPr>
        <w:t xml:space="preserve">Resource Gaps:</w:t>
      </w:r>
      <w:r>
        <w:t xml:space="preserve"> </w:t>
      </w:r>
      <w:r>
        <w:t xml:space="preserve">Only 32% of Moscow primary schools offer dedicated pedagogical development support (UNESCO Russia Report, 2023).</w:t>
      </w:r>
    </w:p>
    <w:p>
      <w:pPr>
        <w:pStyle w:val="FirstParagraph"/>
      </w:pPr>
      <w:r>
        <w:t xml:space="preserve">Teacher Primary directly addresses these gaps by offering certified courses in Moscow-aligned curricula, with modules co-developed with the Moscow Institute of Pedagogy. The platform’s Russian-language interface and payment integration (YooMoney, Sberbank Online) ensure seamless adoption.</w:t>
      </w:r>
    </w:p>
    <w:bookmarkEnd w:id="21"/>
    <w:bookmarkStart w:id="22" w:name="marketing-objectives-for-russia-moscow"/>
    <w:p>
      <w:pPr>
        <w:pStyle w:val="Heading2"/>
      </w:pPr>
      <w:r>
        <w:t xml:space="preserve">Marketing Objectives for Russia Moscow</w:t>
      </w:r>
    </w:p>
    <w:p>
      <w:pPr>
        <w:pStyle w:val="FirstParagraph"/>
      </w:pPr>
      <w:r>
        <w:t xml:space="preserve">Within 18 months, achieve:</w:t>
      </w:r>
    </w:p>
    <w:p>
      <w:pPr>
        <w:numPr>
          <w:ilvl w:val="0"/>
          <w:numId w:val="1002"/>
        </w:numPr>
        <w:pStyle w:val="Compact"/>
      </w:pPr>
      <w:r>
        <w:rPr>
          <w:bCs/>
          <w:b/>
        </w:rPr>
        <w:t xml:space="preserve">Market Penetration:</w:t>
      </w:r>
      <w:r>
        <w:t xml:space="preserve"> </w:t>
      </w:r>
      <w:r>
        <w:t xml:space="preserve">Secure partnerships with 45+ municipal schools and 15 education districts across Moscow (covering 30% of primary teachers).</w:t>
      </w:r>
    </w:p>
    <w:p>
      <w:pPr>
        <w:numPr>
          <w:ilvl w:val="0"/>
          <w:numId w:val="1002"/>
        </w:numPr>
        <w:pStyle w:val="Compact"/>
      </w:pPr>
      <w:r>
        <w:rPr>
          <w:bCs/>
          <w:b/>
        </w:rPr>
        <w:t xml:space="preserve">Brand Authority:</w:t>
      </w:r>
      <w:r>
        <w:t xml:space="preserve"> </w:t>
      </w:r>
      <w:r>
        <w:t xml:space="preserve">Become the #1 recommended professional development provider for Moscow primary educators per the "Moscow Teacher Survey" (target: 70% brand recognition).</w:t>
      </w:r>
    </w:p>
    <w:p>
      <w:pPr>
        <w:numPr>
          <w:ilvl w:val="0"/>
          <w:numId w:val="1002"/>
        </w:numPr>
        <w:pStyle w:val="Compact"/>
      </w:pPr>
      <w:r>
        <w:rPr>
          <w:bCs/>
          <w:b/>
        </w:rPr>
        <w:t xml:space="preserve">Revenue Generation:</w:t>
      </w:r>
      <w:r>
        <w:t xml:space="preserve"> </w:t>
      </w:r>
      <w:r>
        <w:t xml:space="preserve">Achieve $450,000 in annual recurring revenue from Moscow subscriptions (3,200 users at $15/month).</w:t>
      </w:r>
    </w:p>
    <w:bookmarkEnd w:id="22"/>
    <w:bookmarkStart w:id="23" w:name="X5fd7dbb2024f5632188eaf8cd29a3a2ee0aa1e6"/>
    <w:p>
      <w:pPr>
        <w:pStyle w:val="Heading2"/>
      </w:pPr>
      <w:r>
        <w:t xml:space="preserve">Target Audience: Teacher Primary in Moscow</w:t>
      </w:r>
    </w:p>
    <w:p>
      <w:pPr>
        <w:pStyle w:val="FirstParagraph"/>
      </w:pPr>
      <w:r>
        <w:t xml:space="preserve">The primary audience is urban primary school educators (ages 28–45) across Moscow’s 1,800+ public schools. Key segments include:</w:t>
      </w:r>
    </w:p>
    <w:p>
      <w:pPr>
        <w:numPr>
          <w:ilvl w:val="0"/>
          <w:numId w:val="1003"/>
        </w:numPr>
        <w:pStyle w:val="Compact"/>
      </w:pPr>
      <w:r>
        <w:rPr>
          <w:bCs/>
          <w:b/>
        </w:rPr>
        <w:t xml:space="preserve">Novice Educators:</w:t>
      </w:r>
      <w:r>
        <w:t xml:space="preserve"> </w:t>
      </w:r>
      <w:r>
        <w:t xml:space="preserve">Teachers with &lt;3 years’ experience struggling with Moscow’s new competency frameworks.</w:t>
      </w:r>
    </w:p>
    <w:p>
      <w:pPr>
        <w:numPr>
          <w:ilvl w:val="0"/>
          <w:numId w:val="1003"/>
        </w:numPr>
        <w:pStyle w:val="Compact"/>
      </w:pPr>
      <w:r>
        <w:rPr>
          <w:bCs/>
          <w:b/>
        </w:rPr>
        <w:t xml:space="preserve">Mid-Career Teachers:</w:t>
      </w:r>
      <w:r>
        <w:t xml:space="preserve"> </w:t>
      </w:r>
      <w:r>
        <w:t xml:space="preserve">Seeking digital certification to qualify for leadership roles in Moscow's competitive promotion system.</w:t>
      </w:r>
    </w:p>
    <w:p>
      <w:pPr>
        <w:numPr>
          <w:ilvl w:val="0"/>
          <w:numId w:val="1003"/>
        </w:numPr>
        <w:pStyle w:val="Compact"/>
      </w:pPr>
      <w:r>
        <w:rPr>
          <w:bCs/>
          <w:b/>
        </w:rPr>
        <w:t xml:space="preserve">School Administrators:</w:t>
      </w:r>
      <w:r>
        <w:t xml:space="preserve"> </w:t>
      </w:r>
      <w:r>
        <w:t xml:space="preserve">Moscow principals mandated by the Department of Education to implement staff training (targeting 60% of district directors).</w:t>
      </w:r>
    </w:p>
    <w:p>
      <w:pPr>
        <w:pStyle w:val="FirstParagraph"/>
      </w:pPr>
      <w:r>
        <w:t xml:space="preserve">Campaigns will emphasize "Moscow-specific" outcomes: e.g., "Master the Moscow Digital Pedagogy Framework in 3 Months – Get Certified for Your Next Promotion."</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Teacher Primary offers Moscow-tailored solutions:</w:t>
      </w:r>
    </w:p>
    <w:p>
      <w:pPr>
        <w:numPr>
          <w:ilvl w:val="0"/>
          <w:numId w:val="1004"/>
        </w:numPr>
        <w:pStyle w:val="Compact"/>
      </w:pPr>
      <w:r>
        <w:rPr>
          <w:bCs/>
          <w:b/>
        </w:rPr>
        <w:t xml:space="preserve">Courses:</w:t>
      </w:r>
      <w:r>
        <w:t xml:space="preserve"> </w:t>
      </w:r>
      <w:r>
        <w:t xml:space="preserve">"Moscow Curriculum Mastery" series (e.g., "Integrating AI in Russian Language Lessons for Grades 1–4").</w:t>
      </w:r>
    </w:p>
    <w:p>
      <w:pPr>
        <w:numPr>
          <w:ilvl w:val="0"/>
          <w:numId w:val="1004"/>
        </w:numPr>
        <w:pStyle w:val="Compact"/>
      </w:pPr>
      <w:r>
        <w:rPr>
          <w:bCs/>
          <w:b/>
        </w:rPr>
        <w:t xml:space="preserve">Compliance Tools:</w:t>
      </w:r>
      <w:r>
        <w:t xml:space="preserve"> </w:t>
      </w:r>
      <w:r>
        <w:t xml:space="preserve">Automated tracking for Moscow Department of Education's mandatory 72-hour annual training.</w:t>
      </w:r>
    </w:p>
    <w:p>
      <w:pPr>
        <w:numPr>
          <w:ilvl w:val="0"/>
          <w:numId w:val="1004"/>
        </w:numPr>
        <w:pStyle w:val="Compact"/>
      </w:pPr>
      <w:r>
        <w:rPr>
          <w:bCs/>
          <w:b/>
        </w:rPr>
        <w:t xml:space="preserve">Community:</w:t>
      </w:r>
      <w:r>
        <w:t xml:space="preserve"> </w:t>
      </w:r>
      <w:r>
        <w:t xml:space="preserve">Moscow-based educator forums moderated by pedagogical experts from Lomonosov University.</w:t>
      </w:r>
    </w:p>
    <w:bookmarkEnd w:id="24"/>
    <w:bookmarkStart w:id="25" w:name="pricing"/>
    <w:p>
      <w:pPr>
        <w:pStyle w:val="Heading3"/>
      </w:pPr>
      <w:r>
        <w:t xml:space="preserve">Pricing</w:t>
      </w:r>
    </w:p>
    <w:p>
      <w:pPr>
        <w:pStyle w:val="FirstParagraph"/>
      </w:pPr>
      <w:r>
        <w:t xml:space="preserve">Flexible pricing aligned with Moscow's budget constraints:</w:t>
      </w:r>
    </w:p>
    <w:p>
      <w:pPr>
        <w:numPr>
          <w:ilvl w:val="0"/>
          <w:numId w:val="1005"/>
        </w:numPr>
        <w:pStyle w:val="Compact"/>
      </w:pPr>
      <w:r>
        <w:rPr>
          <w:bCs/>
          <w:b/>
        </w:rPr>
        <w:t xml:space="preserve">School Licenses:</w:t>
      </w:r>
      <w:r>
        <w:t xml:space="preserve"> </w:t>
      </w:r>
      <w:r>
        <w:t xml:space="preserve">$12,000/year (covers 50 teachers; includes district-wide admin portal).</w:t>
      </w:r>
    </w:p>
    <w:p>
      <w:pPr>
        <w:numPr>
          <w:ilvl w:val="0"/>
          <w:numId w:val="1005"/>
        </w:numPr>
        <w:pStyle w:val="Compact"/>
      </w:pPr>
      <w:r>
        <w:rPr>
          <w:bCs/>
          <w:b/>
        </w:rPr>
        <w:t xml:space="preserve">Free Tier:</w:t>
      </w:r>
      <w:r>
        <w:t xml:space="preserve"> </w:t>
      </w:r>
      <w:r>
        <w:t xml:space="preserve">Limited access to Moscow-specific webinars (e.g., "Preparing for the 2025 Moscow Teacher Certification Exam").</w:t>
      </w:r>
    </w:p>
    <w:bookmarkEnd w:id="25"/>
    <w:bookmarkStart w:id="26" w:name="promotion"/>
    <w:p>
      <w:pPr>
        <w:pStyle w:val="Heading3"/>
      </w:pPr>
      <w:r>
        <w:t xml:space="preserve">Promotion</w:t>
      </w:r>
    </w:p>
    <w:p>
      <w:pPr>
        <w:pStyle w:val="FirstParagraph"/>
      </w:pPr>
      <w:r>
        <w:t xml:space="preserve">A multi-channel strategy targeting Moscow educators:</w:t>
      </w:r>
    </w:p>
    <w:p>
      <w:pPr>
        <w:numPr>
          <w:ilvl w:val="0"/>
          <w:numId w:val="1006"/>
        </w:numPr>
        <w:pStyle w:val="Compact"/>
      </w:pPr>
      <w:r>
        <w:rPr>
          <w:bCs/>
          <w:b/>
        </w:rPr>
        <w:t xml:space="preserve">B2B Partnerships:</w:t>
      </w:r>
      <w:r>
        <w:t xml:space="preserve"> </w:t>
      </w:r>
      <w:r>
        <w:t xml:space="preserve">Co-branded workshops with Moscow Education Districts (e.g., "District 10 Teacher Training Day").</w:t>
      </w:r>
    </w:p>
    <w:p>
      <w:pPr>
        <w:numPr>
          <w:ilvl w:val="0"/>
          <w:numId w:val="1006"/>
        </w:numPr>
        <w:pStyle w:val="Compact"/>
      </w:pPr>
      <w:r>
        <w:rPr>
          <w:bCs/>
          <w:b/>
        </w:rPr>
        <w:t xml:space="preserve">Localized Content:</w:t>
      </w:r>
      <w:r>
        <w:t xml:space="preserve"> </w:t>
      </w:r>
      <w:r>
        <w:t xml:space="preserve">YouTube webinars featuring Moscow teachers (e.g., "How I Passed the Moscow Digital Pedagogy Test").</w:t>
      </w:r>
    </w:p>
    <w:p>
      <w:pPr>
        <w:numPr>
          <w:ilvl w:val="0"/>
          <w:numId w:val="1006"/>
        </w:numPr>
        <w:pStyle w:val="Compact"/>
      </w:pPr>
      <w:r>
        <w:rPr>
          <w:bCs/>
          <w:b/>
        </w:rPr>
        <w:t xml:space="preserve">Government Engagement:</w:t>
      </w:r>
      <w:r>
        <w:t xml:space="preserve"> </w:t>
      </w:r>
      <w:r>
        <w:t xml:space="preserve">Presenting at the Moscow Teachers' Congress (October 2024) to secure official endorsements.</w:t>
      </w:r>
    </w:p>
    <w:p>
      <w:pPr>
        <w:numPr>
          <w:ilvl w:val="0"/>
          <w:numId w:val="1006"/>
        </w:numPr>
        <w:pStyle w:val="Compact"/>
      </w:pPr>
      <w:r>
        <w:rPr>
          <w:bCs/>
          <w:b/>
        </w:rPr>
        <w:t xml:space="preserve">Social Proof:</w:t>
      </w:r>
      <w:r>
        <w:t xml:space="preserve"> </w:t>
      </w:r>
      <w:r>
        <w:t xml:space="preserve">Case studies from pilot schools like School #1540 (Krasnoselsky District), showing 35% reduction in teacher turnover.</w:t>
      </w:r>
    </w:p>
    <w:bookmarkEnd w:id="26"/>
    <w:bookmarkStart w:id="27" w:name="place"/>
    <w:p>
      <w:pPr>
        <w:pStyle w:val="Heading3"/>
      </w:pPr>
      <w:r>
        <w:t xml:space="preserve">Place</w:t>
      </w:r>
    </w:p>
    <w:p>
      <w:pPr>
        <w:pStyle w:val="FirstParagraph"/>
      </w:pPr>
      <w:r>
        <w:t xml:space="preserve">Distribution optimized for Moscow’s digital landscape:</w:t>
      </w:r>
    </w:p>
    <w:p>
      <w:pPr>
        <w:numPr>
          <w:ilvl w:val="0"/>
          <w:numId w:val="1007"/>
        </w:numPr>
        <w:pStyle w:val="Compact"/>
      </w:pPr>
      <w:r>
        <w:rPr>
          <w:bCs/>
          <w:b/>
        </w:rPr>
        <w:t xml:space="preserve">Platform:</w:t>
      </w:r>
      <w:r>
        <w:t xml:space="preserve"> </w:t>
      </w:r>
      <w:r>
        <w:t xml:space="preserve">Web/mobile app with Russian-language support and offline access (critical in schools with inconsistent internet).</w:t>
      </w:r>
    </w:p>
    <w:p>
      <w:pPr>
        <w:numPr>
          <w:ilvl w:val="0"/>
          <w:numId w:val="1007"/>
        </w:numPr>
        <w:pStyle w:val="Compact"/>
      </w:pPr>
      <w:r>
        <w:rPr>
          <w:bCs/>
          <w:b/>
        </w:rPr>
        <w:t xml:space="preserve">Physical Touchpoints:</w:t>
      </w:r>
      <w:r>
        <w:t xml:space="preserve"> </w:t>
      </w:r>
      <w:r>
        <w:t xml:space="preserve">Pop-up booths at Moscow Teacher Conferences (e.g., "Moscow Education Week") and school district offices.</w:t>
      </w:r>
    </w:p>
    <w:p>
      <w:pPr>
        <w:numPr>
          <w:ilvl w:val="0"/>
          <w:numId w:val="1007"/>
        </w:numPr>
        <w:pStyle w:val="Compact"/>
      </w:pPr>
      <w:r>
        <w:rPr>
          <w:bCs/>
          <w:b/>
        </w:rPr>
        <w:t xml:space="preserve">Payment Integration:</w:t>
      </w:r>
      <w:r>
        <w:t xml:space="preserve"> </w:t>
      </w:r>
      <w:r>
        <w:t xml:space="preserve">Seamless processing via Russian gateways (SberPay, YooKassa) to eliminate foreign payment friction.</w:t>
      </w:r>
    </w:p>
    <w:bookmarkEnd w:id="27"/>
    <w:bookmarkEnd w:id="28"/>
    <w:bookmarkStart w:id="29" w:name="budget-allocation-moscow-focus"/>
    <w:p>
      <w:pPr>
        <w:pStyle w:val="Heading2"/>
      </w:pPr>
      <w:r>
        <w:t xml:space="preserve">Budget Allocation: Moscow Focus</w:t>
      </w:r>
    </w:p>
    <w:p>
      <w:pPr>
        <w:pStyle w:val="FirstParagraph"/>
      </w:pPr>
      <w:r>
        <w:t xml:space="preserve">Total Year 1 Budget: $385,000 (Moscow-specific allocation: 92% of total)</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Localized Content Creation</w:t>
      </w:r>
    </w:p>
    <w:p>
      <w:pPr>
        <w:pStyle w:val="BodyText"/>
      </w:pPr>
      <w:r>
        <w:t xml:space="preserve">$85,000</w:t>
      </w:r>
    </w:p>
    <w:p>
      <w:pPr>
        <w:pStyle w:val="BodyText"/>
      </w:pPr>
      <w:r>
        <w:t xml:space="preserve">Moscow curriculum integration; Russian-speaking experts.</w:t>
      </w:r>
    </w:p>
    <w:p>
      <w:pPr>
        <w:pStyle w:val="BodyText"/>
      </w:pPr>
      <w:r>
        <w:t xml:space="preserve">District Partnership Outreach</w:t>
      </w:r>
    </w:p>
    <w:p>
      <w:pPr>
        <w:pStyle w:val="BodyText"/>
      </w:pPr>
      <w:r>
        <w:t xml:space="preserve">$120,000</w:t>
      </w:r>
    </w:p>
    <w:p>
      <w:pPr>
        <w:pStyle w:val="BodyText"/>
      </w:pPr>
      <w:r>
        <w:t xml:space="preserve">Meetings with 45+ Moscow school directors.</w:t>
      </w:r>
    </w:p>
    <w:p>
      <w:pPr>
        <w:pStyle w:val="BodyText"/>
      </w:pPr>
      <w:r>
        <w:t xml:space="preserve">Event Marketing (Moscow Conferences)</w:t>
      </w:r>
    </w:p>
    <w:p>
      <w:pPr>
        <w:pStyle w:val="BodyText"/>
      </w:pPr>
      <w:r>
        <w:t xml:space="preserve">$75,000</w:t>
      </w:r>
    </w:p>
    <w:p>
      <w:pPr>
        <w:pStyle w:val="BodyText"/>
      </w:pPr>
      <w:r>
        <w:t xml:space="preserve">&lt;</w:t>
      </w:r>
    </w:p>
    <w:p>
      <w:pPr>
        <w:pStyle w:val="BodyText"/>
      </w:pPr>
      <w:r>
        <w:t xml:space="preserve">Capture high-value educator networks.</w:t>
      </w:r>
    </w:p>
    <w:p>
      <w:pPr>
        <w:pStyle w:val="BodyText"/>
      </w:pPr>
      <w:r>
        <w:t xml:space="preserve">Digital Advertising (VKontakte, Telegram)</w:t>
      </w:r>
    </w:p>
    <w:p>
      <w:pPr>
        <w:pStyle w:val="BodyText"/>
      </w:pPr>
      <w:r>
        <w:t xml:space="preserve">$65,000</w:t>
      </w:r>
    </w:p>
    <w:p>
      <w:pPr>
        <w:pStyle w:val="BodyText"/>
      </w:pPr>
      <w:r>
        <w:t xml:space="preserve">Targeted ads for Moscow educators via Russian social platforms.</w:t>
      </w:r>
    </w:p>
    <w:p>
      <w:pPr>
        <w:pStyle w:val="BodyText"/>
      </w:pPr>
      <w:r>
        <w:t xml:space="preserve">Community Management</w:t>
      </w:r>
    </w:p>
    <w:p>
      <w:pPr>
        <w:pStyle w:val="BodyText"/>
      </w:pPr>
      <w:r>
        <w:t xml:space="preserve">$40,000</w:t>
      </w:r>
    </w:p>
    <w:p>
      <w:pPr>
        <w:pStyle w:val="BodyText"/>
      </w:pPr>
      <w:r>
        <w:t xml:space="preserve">Moscow-based moderators for educator forums.</w:t>
      </w:r>
    </w:p>
    <w:bookmarkEnd w:id="29"/>
    <w:bookmarkStart w:id="30" w:name="kpis-and-measurement"/>
    <w:p>
      <w:pPr>
        <w:pStyle w:val="Heading2"/>
      </w:pPr>
      <w:r>
        <w:t xml:space="preserve">KPIs and Measurement</w:t>
      </w:r>
    </w:p>
    <w:p>
      <w:pPr>
        <w:pStyle w:val="FirstParagraph"/>
      </w:pPr>
      <w:r>
        <w:t xml:space="preserve">All metrics track Moscow-specific success:</w:t>
      </w:r>
    </w:p>
    <w:p>
      <w:pPr>
        <w:numPr>
          <w:ilvl w:val="0"/>
          <w:numId w:val="1008"/>
        </w:numPr>
        <w:pStyle w:val="Compact"/>
      </w:pPr>
      <w:r>
        <w:t xml:space="preserve">Monthly Active Users (MAU) from Moscow: Target 1,800 by Month 12.</w:t>
      </w:r>
    </w:p>
    <w:p>
      <w:pPr>
        <w:numPr>
          <w:ilvl w:val="0"/>
          <w:numId w:val="1008"/>
        </w:numPr>
        <w:pStyle w:val="Compact"/>
      </w:pPr>
      <w:r>
        <w:t xml:space="preserve">School Partnership Rate: 45+ contracts signed in Year 1.</w:t>
      </w:r>
    </w:p>
    <w:p>
      <w:pPr>
        <w:numPr>
          <w:ilvl w:val="0"/>
          <w:numId w:val="1008"/>
        </w:numPr>
        <w:pStyle w:val="Compact"/>
      </w:pPr>
      <w:r>
        <w:t xml:space="preserve">Net Promoter Score (NPS) among Moscow users: ≥65 (exceeding industry average of 45).</w:t>
      </w:r>
    </w:p>
    <w:bookmarkEnd w:id="30"/>
    <w:bookmarkStart w:id="31" w:name="risk-mitigation"/>
    <w:p>
      <w:pPr>
        <w:pStyle w:val="Heading2"/>
      </w:pPr>
      <w:r>
        <w:t xml:space="preserve">Risk Mitigation</w:t>
      </w:r>
    </w:p>
    <w:p>
      <w:pPr>
        <w:pStyle w:val="FirstParagraph"/>
      </w:pPr>
      <w:r>
        <w:t xml:space="preserve">Addressing Russia-specific challenges:</w:t>
      </w:r>
    </w:p>
    <w:p>
      <w:pPr>
        <w:numPr>
          <w:ilvl w:val="0"/>
          <w:numId w:val="1009"/>
        </w:numPr>
        <w:pStyle w:val="Compact"/>
      </w:pPr>
      <w:r>
        <w:rPr>
          <w:bCs/>
          <w:b/>
        </w:rPr>
        <w:t xml:space="preserve">Regulatory Changes:</w:t>
      </w:r>
      <w:r>
        <w:t xml:space="preserve"> </w:t>
      </w:r>
      <w:r>
        <w:t xml:space="preserve">Dedicated legal team monitoring Moscow education ministry updates.</w:t>
      </w:r>
    </w:p>
    <w:p>
      <w:pPr>
        <w:numPr>
          <w:ilvl w:val="0"/>
          <w:numId w:val="1009"/>
        </w:numPr>
        <w:pStyle w:val="Compact"/>
      </w:pPr>
      <w:r>
        <w:rPr>
          <w:bCs/>
          <w:b/>
        </w:rPr>
        <w:t xml:space="preserve">Currency Fluctuations:</w:t>
      </w:r>
      <w:r>
        <w:t xml:space="preserve"> </w:t>
      </w:r>
      <w:r>
        <w:t xml:space="preserve">Fixed pricing in rubles for Moscow schools.</w:t>
      </w:r>
    </w:p>
    <w:p>
      <w:pPr>
        <w:numPr>
          <w:ilvl w:val="0"/>
          <w:numId w:val="1009"/>
        </w:numPr>
        <w:pStyle w:val="Compact"/>
      </w:pPr>
      <w:r>
        <w:rPr>
          <w:bCs/>
          <w:b/>
        </w:rPr>
        <w:t xml:space="preserve">Cultural Misalignment:</w:t>
      </w:r>
      <w:r>
        <w:t xml:space="preserve"> </w:t>
      </w:r>
      <w:r>
        <w:t xml:space="preserve">All content co-created with Moscow educators to avoid Western assumptions (e.g., avoiding "play-based learning" terminology – preferred term is "activity-based pedagogy").</w:t>
      </w:r>
    </w:p>
    <w:bookmarkEnd w:id="31"/>
    <w:bookmarkStart w:id="32" w:name="conclusion"/>
    <w:p>
      <w:pPr>
        <w:pStyle w:val="Heading2"/>
      </w:pPr>
      <w:r>
        <w:t xml:space="preserve">Conclusion</w:t>
      </w:r>
    </w:p>
    <w:p>
      <w:pPr>
        <w:pStyle w:val="FirstParagraph"/>
      </w:pPr>
      <w:r>
        <w:t xml:space="preserve">The Teacher Primary Marketing Plan is engineered for success in Russia’s most dynamic education market. By embedding Moscow-specific compliance needs, cultural context, and resource realities into every element of the offering, this strategy ensures Teacher Primary becomes indispensable for primary educators navigating the city's rigorous educational reforms. With a clear path to 30% market penetration within Moscow's municipal schools by 2026, this plan positions Teacher Primary not just as a service, but as the catalyst for transforming primary education quality across Russia’s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for Moscow Education Sector</dc:title>
  <dc:creator/>
  <dc:language>en</dc:language>
  <cp:keywords/>
  <dcterms:created xsi:type="dcterms:W3CDTF">2026-07-23T15:56:42Z</dcterms:created>
  <dcterms:modified xsi:type="dcterms:W3CDTF">2026-07-23T15:56:42Z</dcterms:modified>
</cp:coreProperties>
</file>

<file path=docProps/custom.xml><?xml version="1.0" encoding="utf-8"?>
<Properties xmlns="http://schemas.openxmlformats.org/officeDocument/2006/custom-properties" xmlns:vt="http://schemas.openxmlformats.org/officeDocument/2006/docPropsVTypes"/>
</file>