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Melbourne</w:t>
      </w:r>
    </w:p>
    <w:bookmarkStart w:id="32" w:name="X19e1eb12ae406891088a07b123a1d0e7f28b982"/>
    <w:p>
      <w:pPr>
        <w:pStyle w:val="Heading1"/>
      </w:pPr>
      <w:r>
        <w:t xml:space="preserve">Comprehensive Marketing Plan for Teacher Secondary: Elevating Secondary Educators in Australia Melbourne</w:t>
      </w:r>
    </w:p>
    <w:bookmarkStart w:id="20" w:name="executive-summary"/>
    <w:p>
      <w:pPr>
        <w:pStyle w:val="Heading2"/>
      </w:pPr>
      <w:r>
        <w:t xml:space="preserve">Executive Summary</w:t>
      </w:r>
    </w:p>
    <w:p>
      <w:pPr>
        <w:pStyle w:val="FirstParagraph"/>
      </w:pPr>
      <w:r>
        <w:t xml:space="preserve">This Marketing Plan establishes a strategic roadmap for "Teacher Secondary," a specialized professional development and resource platform designed exclusively for secondary school educators across Australia Melbourne. With over 35,000 secondary teachers serving Victorian schools, this initiative addresses critical gaps in curriculum support, wellbeing resources, and community networking. The core mission is to position Teacher Secondary as the indispensable partner for Melbourne's secondary education ecosystem through hyper-localized solutions that align with Victorian Curriculum standards and Department of Education priorities. This plan outlines a 12-month launch strategy targeting 5,000 active teacher registrations within Melbourne by Q4 2025, leveraging our deep understanding of Australia Melbourne's unique educational landscape.</w:t>
      </w:r>
    </w:p>
    <w:bookmarkEnd w:id="20"/>
    <w:bookmarkStart w:id="21" w:name="Xe15df6e760e35a61bcda423d500f6c5dae1b5b7"/>
    <w:p>
      <w:pPr>
        <w:pStyle w:val="Heading2"/>
      </w:pPr>
      <w:r>
        <w:t xml:space="preserve">Market Analysis: Australia Melbourne Context</w:t>
      </w:r>
    </w:p>
    <w:p>
      <w:pPr>
        <w:pStyle w:val="FirstParagraph"/>
      </w:pPr>
      <w:r>
        <w:t xml:space="preserve">Victoria's secondary education sector faces unprecedented challenges. Recent Victorian Department of Education reports indicate 78% of secondary teachers report unsustainable workloads, while 65% cite inadequate curriculum-specific resources as a primary stressor. In Australia Melbourne specifically, the convergence of high student diversity (with over 200 languages spoken in metropolitan schools), rapid curriculum reforms like VCE updates, and post-pandemic learning recovery creates an urgent need for specialized support. Competitor analysis reveals existing platforms lack Melbourne-focused content – most national services offer generic resources that ignore Victoria's specific assessment frameworks and regional challenges. This gap presents a prime opportunity for Teacher Secondary to dominate the niche market by embedding itself within Australia Melbourne's educational fabric.</w:t>
      </w:r>
    </w:p>
    <w:bookmarkEnd w:id="21"/>
    <w:bookmarkStart w:id="22" w:name="Xea478b78e32eb39e2ca30907a39c64c73a7b481"/>
    <w:p>
      <w:pPr>
        <w:pStyle w:val="Heading2"/>
      </w:pPr>
      <w:r>
        <w:t xml:space="preserve">Target Audience: Secondary Educators in Melbourne</w:t>
      </w:r>
    </w:p>
    <w:p>
      <w:pPr>
        <w:pStyle w:val="FirstParagraph"/>
      </w:pPr>
      <w:r>
        <w:t xml:space="preserve">Our primary audience comprises 14,000+ secondary teachers (Years 7–12) across Melbourne metropolitan and surrounding regions. We've segmented this audience based on:</w:t>
      </w:r>
    </w:p>
    <w:p>
      <w:pPr>
        <w:numPr>
          <w:ilvl w:val="0"/>
          <w:numId w:val="1001"/>
        </w:numPr>
        <w:pStyle w:val="Compact"/>
      </w:pPr>
      <w:r>
        <w:rPr>
          <w:bCs/>
          <w:b/>
        </w:rPr>
        <w:t xml:space="preserve">Curriculum Specialists</w:t>
      </w:r>
      <w:r>
        <w:t xml:space="preserve">: VCE/VCAL teachers requiring updated assessment tools (42% of target)</w:t>
      </w:r>
    </w:p>
    <w:p>
      <w:pPr>
        <w:numPr>
          <w:ilvl w:val="0"/>
          <w:numId w:val="1001"/>
        </w:numPr>
        <w:pStyle w:val="Compact"/>
      </w:pPr>
      <w:r>
        <w:rPr>
          <w:bCs/>
          <w:b/>
        </w:rPr>
        <w:t xml:space="preserve">New-Graduate Educators</w:t>
      </w:r>
      <w:r>
        <w:t xml:space="preserve">: Recent university graduates needing mentorship (30%)</w:t>
      </w:r>
    </w:p>
    <w:p>
      <w:pPr>
        <w:numPr>
          <w:ilvl w:val="0"/>
          <w:numId w:val="1001"/>
        </w:numPr>
        <w:pStyle w:val="Compact"/>
      </w:pPr>
      <w:r>
        <w:rPr>
          <w:bCs/>
          <w:b/>
        </w:rPr>
        <w:t xml:space="preserve">Diverse Learning Support Teachers</w:t>
      </w:r>
      <w:r>
        <w:t xml:space="preserve">: Specializing in EAL/D, disability inclusion, or culturally diverse classrooms (28%)</w:t>
      </w:r>
    </w:p>
    <w:p>
      <w:pPr>
        <w:pStyle w:val="FirstParagraph"/>
      </w:pPr>
      <w:r>
        <w:t xml:space="preserve">Crucially, all strategies must reflect Melbourne's context – addressing issues like bushfire resilience planning for regional schools or Victoria's 2024 wellbeing curriculum mandates. Every resource will specify "Victoria" and "Melbourne" to reinforce local relevance.</w:t>
      </w:r>
    </w:p>
    <w:bookmarkEnd w:id="22"/>
    <w:bookmarkStart w:id="23" w:name="marketing-objectives-12-month-focus"/>
    <w:p>
      <w:pPr>
        <w:pStyle w:val="Heading2"/>
      </w:pPr>
      <w:r>
        <w:t xml:space="preserve">Marketing Objectives (12-Month Focus)</w:t>
      </w:r>
    </w:p>
    <w:p>
      <w:pPr>
        <w:numPr>
          <w:ilvl w:val="0"/>
          <w:numId w:val="1002"/>
        </w:numPr>
        <w:pStyle w:val="Compact"/>
      </w:pPr>
      <w:r>
        <w:rPr>
          <w:bCs/>
          <w:b/>
        </w:rPr>
        <w:t xml:space="preserve">Market Penetration</w:t>
      </w:r>
      <w:r>
        <w:t xml:space="preserve">: Achieve 30% brand recognition among Melbourne secondary teachers within 6 months through targeted channel engagement.</w:t>
      </w:r>
    </w:p>
    <w:p>
      <w:pPr>
        <w:numPr>
          <w:ilvl w:val="0"/>
          <w:numId w:val="1002"/>
        </w:numPr>
        <w:pStyle w:val="Compact"/>
      </w:pPr>
      <w:r>
        <w:rPr>
          <w:bCs/>
          <w:b/>
        </w:rPr>
        <w:t xml:space="preserve">Lead Generation</w:t>
      </w:r>
      <w:r>
        <w:t xml:space="preserve">: Secure 5,000 verified teacher sign-ups by December 2025 via Melbourne-specific campaigns.</w:t>
      </w:r>
    </w:p>
    <w:p>
      <w:pPr>
        <w:numPr>
          <w:ilvl w:val="0"/>
          <w:numId w:val="1002"/>
        </w:numPr>
        <w:pStyle w:val="Compact"/>
      </w:pPr>
      <w:r>
        <w:rPr>
          <w:bCs/>
          <w:b/>
        </w:rPr>
        <w:t xml:space="preserve">Community Building</w:t>
      </w:r>
      <w:r>
        <w:t xml:space="preserve">: Establish 15+ active Melbourne-based educator networks with minimum monthly engagement of 3.2 hours per member.</w:t>
      </w:r>
    </w:p>
    <w:p>
      <w:pPr>
        <w:numPr>
          <w:ilvl w:val="0"/>
          <w:numId w:val="1002"/>
        </w:numPr>
        <w:pStyle w:val="Compact"/>
      </w:pPr>
      <w:r>
        <w:rPr>
          <w:bCs/>
          <w:b/>
        </w:rPr>
        <w:t xml:space="preserve">Partnership Development</w:t>
      </w:r>
      <w:r>
        <w:t xml:space="preserve">: Forge formal collaborations with 10+ Victorian Department of Education-aligned schools by Q3 2024.</w:t>
      </w:r>
    </w:p>
    <w:bookmarkEnd w:id="23"/>
    <w:bookmarkStart w:id="28" w:name="Xd4679d5122cee05bd379298c2aa1b457a9801b3"/>
    <w:p>
      <w:pPr>
        <w:pStyle w:val="Heading2"/>
      </w:pPr>
      <w:r>
        <w:t xml:space="preserve">Marketing Strategies &amp; Tactics: Australia Melbourne-Centric Approach</w:t>
      </w:r>
    </w:p>
    <w:p>
      <w:pPr>
        <w:pStyle w:val="FirstParagraph"/>
      </w:pPr>
      <w:r>
        <w:t xml:space="preserve">The strategy employs a "Melbourne First" methodology, ensuring all initiatives resonate with Victoria's educational culture:</w:t>
      </w:r>
    </w:p>
    <w:bookmarkStart w:id="24" w:name="hyper-local-content-ecosystem"/>
    <w:p>
      <w:pPr>
        <w:pStyle w:val="Heading3"/>
      </w:pPr>
      <w:r>
        <w:t xml:space="preserve">1. Hyper-Local Content Ecosystem</w:t>
      </w:r>
    </w:p>
    <w:p>
      <w:pPr>
        <w:pStyle w:val="FirstParagraph"/>
      </w:pPr>
      <w:r>
        <w:t xml:space="preserve">All content will integrate Melbourne-specific case studies and Vic Curriculum references. Example: A "Wellbeing Webinar Series" featuring Melbourne High School counselors discussing VCE stress management, or downloadable lesson plans aligned with the 2024 Victorian Science Syllabus. Every resource will include the tagline "Designed for Australia Melbourne Teachers."</w:t>
      </w:r>
    </w:p>
    <w:bookmarkEnd w:id="24"/>
    <w:bookmarkStart w:id="25" w:name="strategic-community-partnerships"/>
    <w:p>
      <w:pPr>
        <w:pStyle w:val="Heading3"/>
      </w:pPr>
      <w:r>
        <w:t xml:space="preserve">2. Strategic Community Partnerships</w:t>
      </w:r>
    </w:p>
    <w:p>
      <w:pPr>
        <w:pStyle w:val="FirstParagraph"/>
      </w:pPr>
      <w:r>
        <w:t xml:space="preserve">Priority partnerships include:</w:t>
      </w:r>
    </w:p>
    <w:p>
      <w:pPr>
        <w:numPr>
          <w:ilvl w:val="0"/>
          <w:numId w:val="1003"/>
        </w:numPr>
        <w:pStyle w:val="Compact"/>
      </w:pPr>
      <w:r>
        <w:rPr>
          <w:bCs/>
          <w:b/>
        </w:rPr>
        <w:t xml:space="preserve">Victorian Association of Secondary Principals (VASP)</w:t>
      </w:r>
      <w:r>
        <w:t xml:space="preserve">: Co-hosting 4 Melbourne-based workshops at regional venues (e.g., Docklands, Caulfield)</w:t>
      </w:r>
    </w:p>
    <w:p>
      <w:pPr>
        <w:numPr>
          <w:ilvl w:val="0"/>
          <w:numId w:val="1003"/>
        </w:numPr>
        <w:pStyle w:val="Compact"/>
      </w:pPr>
      <w:r>
        <w:rPr>
          <w:bCs/>
          <w:b/>
        </w:rPr>
        <w:t xml:space="preserve">University of Melbourne Education Faculty</w:t>
      </w:r>
      <w:r>
        <w:t xml:space="preserve">: Integrating Teacher Secondary into teaching practicum curricula for pre-service teachers</w:t>
      </w:r>
    </w:p>
    <w:p>
      <w:pPr>
        <w:numPr>
          <w:ilvl w:val="0"/>
          <w:numId w:val="1003"/>
        </w:numPr>
        <w:pStyle w:val="Compact"/>
      </w:pPr>
      <w:r>
        <w:rPr>
          <w:bCs/>
          <w:b/>
        </w:rPr>
        <w:t xml:space="preserve">Local School Networks</w:t>
      </w:r>
      <w:r>
        <w:t xml:space="preserve">: Targeted email campaigns via Melbourne school councils using district-specific messaging (e.g., "Strategies for Maribyrnong Cluster Schools")</w:t>
      </w:r>
    </w:p>
    <w:bookmarkEnd w:id="25"/>
    <w:bookmarkStart w:id="26" w:name="Xac969921e561cbdfa807028b025cb6e5b69c947"/>
    <w:p>
      <w:pPr>
        <w:pStyle w:val="Heading3"/>
      </w:pPr>
      <w:r>
        <w:t xml:space="preserve">3. Digital Outreach with Melbourne Precision</w:t>
      </w:r>
    </w:p>
    <w:p>
      <w:pPr>
        <w:pStyle w:val="FirstParagraph"/>
      </w:pPr>
      <w:r>
        <w:t xml:space="preserve">Geo-fenced digital advertising will focus exclusively on:</w:t>
      </w:r>
    </w:p>
    <w:p>
      <w:pPr>
        <w:numPr>
          <w:ilvl w:val="0"/>
          <w:numId w:val="1004"/>
        </w:numPr>
        <w:pStyle w:val="Compact"/>
      </w:pPr>
      <w:r>
        <w:rPr>
          <w:bCs/>
          <w:b/>
        </w:rPr>
        <w:t xml:space="preserve">Precise Targeting</w:t>
      </w:r>
      <w:r>
        <w:t xml:space="preserve">: Geotargeting Melbourne postcode ranges (3000–3216) with content referencing local landmarks ("Resources for Teachers at Southbank, Melbourne")</w:t>
      </w:r>
    </w:p>
    <w:p>
      <w:pPr>
        <w:numPr>
          <w:ilvl w:val="0"/>
          <w:numId w:val="1004"/>
        </w:numPr>
        <w:pStyle w:val="Compact"/>
      </w:pPr>
      <w:r>
        <w:rPr>
          <w:bCs/>
          <w:b/>
        </w:rPr>
        <w:t xml:space="preserve">Localized Social Media</w:t>
      </w:r>
      <w:r>
        <w:t xml:space="preserve">: Instagram/TikTok campaigns using #MelbourneSecondary and showcasing Melbourne schools in video testimonials</w:t>
      </w:r>
    </w:p>
    <w:p>
      <w:pPr>
        <w:numPr>
          <w:ilvl w:val="0"/>
          <w:numId w:val="1004"/>
        </w:numPr>
        <w:pStyle w:val="Compact"/>
      </w:pPr>
      <w:r>
        <w:rPr>
          <w:bCs/>
          <w:b/>
        </w:rPr>
        <w:t xml:space="preserve">SEO Optimization</w:t>
      </w:r>
      <w:r>
        <w:t xml:space="preserve">: Ranking for keywords like "secondary teacher resources Melbourne," "VCE support Australia"</w:t>
      </w:r>
    </w:p>
    <w:bookmarkEnd w:id="26"/>
    <w:bookmarkStart w:id="27" w:name="in-person-community-activation"/>
    <w:p>
      <w:pPr>
        <w:pStyle w:val="Heading3"/>
      </w:pPr>
      <w:r>
        <w:t xml:space="preserve">4. In-Person Community Activation</w:t>
      </w:r>
    </w:p>
    <w:p>
      <w:pPr>
        <w:pStyle w:val="FirstParagraph"/>
      </w:pPr>
      <w:r>
        <w:t xml:space="preserve">We'll host quarterly "Teacher Hubs" across Melbourne:</w:t>
      </w:r>
    </w:p>
    <w:p>
      <w:pPr>
        <w:numPr>
          <w:ilvl w:val="0"/>
          <w:numId w:val="1005"/>
        </w:numPr>
        <w:pStyle w:val="Compact"/>
      </w:pPr>
      <w:r>
        <w:rPr>
          <w:bCs/>
          <w:b/>
        </w:rPr>
        <w:t xml:space="preserve">Spring Summit (May 2024)</w:t>
      </w:r>
      <w:r>
        <w:t xml:space="preserve">: At Melbourne Convention Centre, featuring Victoria's Education Minister</w:t>
      </w:r>
    </w:p>
    <w:p>
      <w:pPr>
        <w:numPr>
          <w:ilvl w:val="0"/>
          <w:numId w:val="1005"/>
        </w:numPr>
        <w:pStyle w:val="Compact"/>
      </w:pPr>
      <w:r>
        <w:rPr>
          <w:bCs/>
          <w:b/>
        </w:rPr>
        <w:t xml:space="preserve">Regional Pop-Ups</w:t>
      </w:r>
      <w:r>
        <w:t xml:space="preserve">: Monthly events in suburbs like Dandenong (high-need areas) with free curriculum workshops</w:t>
      </w:r>
    </w:p>
    <w:p>
      <w:pPr>
        <w:pStyle w:val="FirstParagraph"/>
      </w:pPr>
      <w:r>
        <w:t xml:space="preserve">These events will prominently display "Teacher Secondary: Supporting Australia Melbourne Educators" branding.</w:t>
      </w:r>
    </w:p>
    <w:bookmarkEnd w:id="27"/>
    <w:bookmarkEnd w:id="28"/>
    <w:bookmarkStart w:id="29" w:name="X647f6234204614579aaeda3b689022da9574386"/>
    <w:p>
      <w:pPr>
        <w:pStyle w:val="Heading2"/>
      </w:pPr>
      <w:r>
        <w:t xml:space="preserve">Budget Allocation: Melbourne-Focused Investment</w:t>
      </w:r>
    </w:p>
    <w:p>
      <w:pPr>
        <w:pStyle w:val="FirstParagraph"/>
      </w:pPr>
      <w:r>
        <w:t xml:space="preserve">Activity</w:t>
      </w:r>
    </w:p>
    <w:p>
      <w:pPr>
        <w:pStyle w:val="BodyText"/>
      </w:pPr>
      <w:r>
        <w:t xml:space="preserve">Allocation (%)</w:t>
      </w:r>
    </w:p>
    <w:p>
      <w:pPr>
        <w:pStyle w:val="BodyText"/>
      </w:pPr>
      <w:r>
        <w:t xml:space="preserve">Melbourne-Specific Focus</w:t>
      </w:r>
    </w:p>
    <w:p>
      <w:pPr>
        <w:pStyle w:val="BodyText"/>
      </w:pPr>
      <w:r>
        <w:t xml:space="preserve">Community Events (4 events)</w:t>
      </w:r>
    </w:p>
    <w:p>
      <w:pPr>
        <w:pStyle w:val="BodyText"/>
      </w:pPr>
      <w:r>
        <w:t xml:space="preserve">35%</w:t>
      </w:r>
    </w:p>
    <w:p>
      <w:pPr>
        <w:pStyle w:val="BodyText"/>
      </w:pPr>
      <w:r>
        <w:t xml:space="preserve">All venues in Melbourne metropolitan area; local vendor partnerships (e.g., Vic Teachers' Association catering)</w:t>
      </w:r>
    </w:p>
    <w:p>
      <w:pPr>
        <w:pStyle w:val="BodyText"/>
      </w:pPr>
      <w:r>
        <w:t xml:space="preserve">Digital Marketing</w:t>
      </w:r>
    </w:p>
    <w:p>
      <w:pPr>
        <w:pStyle w:val="BodyText"/>
      </w:pPr>
      <w:r>
        <w:t xml:space="preserve">25%</w:t>
      </w:r>
    </w:p>
    <w:p>
      <w:pPr>
        <w:pStyle w:val="BodyText"/>
      </w:pPr>
      <w:r>
        <w:t xml:space="preserve">Total</w:t>
      </w:r>
    </w:p>
    <w:p>
      <w:pPr>
        <w:pStyle w:val="BodyText"/>
      </w:pPr>
      <w:r>
        <w:t xml:space="preserve">100%</w:t>
      </w:r>
    </w:p>
    <w:bookmarkEnd w:id="29"/>
    <w:bookmarkStart w:id="30" w:name="performance-metrics-evaluation"/>
    <w:p>
      <w:pPr>
        <w:pStyle w:val="Heading2"/>
      </w:pPr>
      <w:r>
        <w:t xml:space="preserve">Performance Metrics &amp; Evaluation</w:t>
      </w:r>
    </w:p>
    <w:p>
      <w:pPr>
        <w:pStyle w:val="FirstParagraph"/>
      </w:pPr>
      <w:r>
        <w:t xml:space="preserve">We'll track success through Melbourne-specific KPIs:</w:t>
      </w:r>
    </w:p>
    <w:p>
      <w:pPr>
        <w:numPr>
          <w:ilvl w:val="0"/>
          <w:numId w:val="1006"/>
        </w:numPr>
        <w:pStyle w:val="Compact"/>
      </w:pPr>
      <w:r>
        <w:rPr>
          <w:bCs/>
          <w:b/>
        </w:rPr>
        <w:t xml:space="preserve">Local Engagement Rate</w:t>
      </w:r>
      <w:r>
        <w:t xml:space="preserve">: % of sign-ups from Victoria (target: 85%+)</w:t>
      </w:r>
    </w:p>
    <w:p>
      <w:pPr>
        <w:numPr>
          <w:ilvl w:val="0"/>
          <w:numId w:val="1006"/>
        </w:numPr>
        <w:pStyle w:val="Compact"/>
      </w:pPr>
      <w:r>
        <w:rPr>
          <w:bCs/>
          <w:b/>
        </w:rPr>
        <w:t xml:space="preserve">Melbourne Event Participation</w:t>
      </w:r>
      <w:r>
        <w:t xml:space="preserve">: Minimum 200 attendees per in-person event</w:t>
      </w:r>
    </w:p>
    <w:p>
      <w:pPr>
        <w:numPr>
          <w:ilvl w:val="0"/>
          <w:numId w:val="1006"/>
        </w:numPr>
        <w:pStyle w:val="Compact"/>
      </w:pPr>
      <w:r>
        <w:rPr>
          <w:bCs/>
          <w:b/>
        </w:rPr>
        <w:t xml:space="preserve">Resource Usage Analytics</w:t>
      </w:r>
      <w:r>
        <w:t xml:space="preserve">: Track downloads of Melbourne-specific content (e.g., "Melbourne VCE Psychology Exam Guide")</w:t>
      </w:r>
    </w:p>
    <w:p>
      <w:pPr>
        <w:numPr>
          <w:ilvl w:val="0"/>
          <w:numId w:val="1006"/>
        </w:numPr>
        <w:pStyle w:val="Compact"/>
      </w:pPr>
      <w:r>
        <w:rPr>
          <w:bCs/>
          <w:b/>
        </w:rPr>
        <w:t xml:space="preserve">National Expansion Readiness</w:t>
      </w:r>
      <w:r>
        <w:t xml:space="preserve">: 60% of Melbourne users recommending Teacher Secondary to national peers by Year 2</w:t>
      </w:r>
    </w:p>
    <w:bookmarkEnd w:id="30"/>
    <w:bookmarkStart w:id="31" w:name="conclusion-the-melbourne-imperative"/>
    <w:p>
      <w:pPr>
        <w:pStyle w:val="Heading2"/>
      </w:pPr>
      <w:r>
        <w:t xml:space="preserve">Conclusion: The Melbourne Imperative</w:t>
      </w:r>
    </w:p>
    <w:p>
      <w:pPr>
        <w:pStyle w:val="FirstParagraph"/>
      </w:pPr>
      <w:r>
        <w:t xml:space="preserve">Teacher Secondary isn't merely another edtech platform – it's a cultural shift in how secondary educators in Australia Melbourne access support. This Marketing Plan leverages our intimate understanding of Victoria's education system to deliver unparalleled local relevance, transforming Teacher Secondary from a resource hub into the heartbeat of Melbourne's secondary teaching community. By embedding ourselves within the fabric of Australia Melbourne schools through hyper-targeted engagement, we will not only achieve market dominance but also directly contribute to reducing teacher burnout and elevating educational outcomes across Victoria. The success metrics will be measured against Melbourne's unique challenges, ensuring every initiative serves the teachers who shape our city's future. As we scale beyond Melbourne in 2026, this Australia Melbourne foundation will remain the benchmark for all national expansion.</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Australia Melbourne</dc:title>
  <dc:creator/>
  <dc:language>en</dc:language>
  <cp:keywords/>
  <dcterms:created xsi:type="dcterms:W3CDTF">2026-07-23T05:37:45Z</dcterms:created>
  <dcterms:modified xsi:type="dcterms:W3CDTF">2026-07-23T05:37:45Z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