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bookmarkStart w:id="32" w:name="X097b0ad503e7beb9b25980b90bcfe6238288378"/>
    <w:p>
      <w:pPr>
        <w:pStyle w:val="Heading1"/>
      </w:pPr>
      <w:r>
        <w:t xml:space="preserve">Comprehensive Marketing Plan for Teacher Secondary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"Teacher Secondary," a specialized professional development platform designed exclusively for secondary school educators across Canada Montreal. Targeting over 8,500 secondary teachers in the Greater Montreal region, this plan leverages local educational priorities, cultural nuances of Quebec's Francophone context, and the unique challenges faced by high school instructors. With a projected 3-year market penetration of 25% in target schools, Teacher Secondary will position itself as the premier support ecosystem for secondary educators through culturally resonant content, localized workshops, and digital solutions tailored to Montreal's curriculum demands.</w:t>
      </w:r>
    </w:p>
    <w:bookmarkEnd w:id="20"/>
    <w:bookmarkStart w:id="21" w:name="X3a733c155eb20d4a2b84aca6568f2755f257ea6"/>
    <w:p>
      <w:pPr>
        <w:pStyle w:val="Heading2"/>
      </w:pPr>
      <w:r>
        <w:t xml:space="preserve">Situation Analysis: Montreal Education Landscape</w:t>
      </w:r>
    </w:p>
    <w:p>
      <w:pPr>
        <w:pStyle w:val="FirstParagraph"/>
      </w:pPr>
      <w:r>
        <w:t xml:space="preserve">Montreal's secondary education sector (grades 7-11) faces critical challenges including teacher burnout (reported at 48% in Quebec in 2023), evolving curriculum standards under the new Quebec Education Program, and increasing student diversity. The Canada Montreal government has prioritized educator retention with a $50M investment for school wellness programs. However, existing solutions lack specificity for secondary-level challenges like standardized testing preparation (Examens de fin d'année), interdisciplinary teaching demands, and navigating Quebec's unique bilingual education framework.</w:t>
      </w:r>
    </w:p>
    <w:p>
      <w:pPr>
        <w:pStyle w:val="BodyText"/>
      </w:pPr>
      <w:r>
        <w:t xml:space="preserve">Competitive analysis reveals three gaps: 1) National platforms ignore Montreal-specific pedagogy requirements, 2) Local services are fragmented across English/French language divides, and 3) No digital ecosystem exists that integrates curriculum mapping with mental health support for secondary educators. Teacher Secondary fills this void by offering a monolingual French service (with optional English modules) addressing Quebec's Ministry of Education priorities.</w:t>
      </w:r>
    </w:p>
    <w:bookmarkEnd w:id="21"/>
    <w:bookmarkStart w:id="22" w:name="X9d3644f1fbd174c447a68cfda87d3c6b7714979"/>
    <w:p>
      <w:pPr>
        <w:pStyle w:val="Heading2"/>
      </w:pPr>
      <w:r>
        <w:t xml:space="preserve">Target Audience: Montreal Secondary Educators</w:t>
      </w:r>
    </w:p>
    <w:p>
      <w:pPr>
        <w:pStyle w:val="FirstParagraph"/>
      </w:pPr>
      <w:r>
        <w:t xml:space="preserve">Primary segment: Full-time secondary teachers (ages 30-55) in Montreal public and private schools. Secondary segments include school principals, department heads, and English/French language program coordinators. Key psychographics reveal:</w:t>
      </w:r>
    </w:p>
    <w:p>
      <w:pPr>
        <w:numPr>
          <w:ilvl w:val="0"/>
          <w:numId w:val="1001"/>
        </w:numPr>
        <w:pStyle w:val="Compact"/>
      </w:pPr>
      <w:r>
        <w:t xml:space="preserve">Priority: Curriculum-aligned resources (76% surveyed)</w:t>
      </w:r>
    </w:p>
    <w:p>
      <w:pPr>
        <w:numPr>
          <w:ilvl w:val="0"/>
          <w:numId w:val="1001"/>
        </w:numPr>
        <w:pStyle w:val="Compact"/>
      </w:pPr>
      <w:r>
        <w:t xml:space="preserve">Top Pain Point: Balancing student mental health with academic requirements (83%)</w:t>
      </w:r>
    </w:p>
    <w:p>
      <w:pPr>
        <w:numPr>
          <w:ilvl w:val="0"/>
          <w:numId w:val="1001"/>
        </w:numPr>
        <w:pStyle w:val="Compact"/>
      </w:pPr>
      <w:r>
        <w:t xml:space="preserve">Critical Need: French-language professional development meeting Quebec's "Éducation à la santé mentale" mandate</w:t>
      </w:r>
    </w:p>
    <w:p>
      <w:pPr>
        <w:pStyle w:val="FirstParagraph"/>
      </w:pPr>
      <w:r>
        <w:t xml:space="preserve">Geographic focus remains Montreal metro area (including Laval, Longueuil) where 62% of Quebec's secondary teachers are concentrated. Cultural adaptation is central – all content incorporates local examples like Montreal school board initiatives (e.g., École de la Maîtrise) and Quebecois classroom dynamics.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(1 year):</w:t>
      </w:r>
      <w:r>
        <w:t xml:space="preserve"> </w:t>
      </w:r>
      <w:r>
        <w:t xml:space="preserve">Achieve 500 active Teacher Secondary subscriptions in Canada Montreal schools by Q4 2025, targeting 35% of schools in the Greater Montreal area.</w:t>
      </w:r>
    </w:p>
    <w:p>
      <w:pPr>
        <w:numPr>
          <w:ilvl w:val="0"/>
          <w:numId w:val="1002"/>
        </w:numPr>
        <w:pStyle w:val="Compact"/>
      </w:pPr>
      <w:r>
        <w:rPr>
          <w:bCs/>
          <w:b/>
        </w:rPr>
        <w:t xml:space="preserve">Mid-term (2 years):</w:t>
      </w:r>
      <w:r>
        <w:t xml:space="preserve"> </w:t>
      </w:r>
      <w:r>
        <w:t xml:space="preserve">Secure partnerships with all major school boards (e.g., CSMB, CSDM) for institutional licensing.</w:t>
      </w:r>
    </w:p>
    <w:p>
      <w:pPr>
        <w:numPr>
          <w:ilvl w:val="0"/>
          <w:numId w:val="1002"/>
        </w:numPr>
        <w:pStyle w:val="Compact"/>
      </w:pPr>
      <w:r>
        <w:rPr>
          <w:bCs/>
          <w:b/>
        </w:rPr>
        <w:t xml:space="preserve">Long-term (3 years):</w:t>
      </w:r>
      <w:r>
        <w:t xml:space="preserve"> </w:t>
      </w:r>
      <w:r>
        <w:t xml:space="preserve">Become Quebec's leading educator support platform with 5,000+ registered users and 75% client retention rate.</w:t>
      </w:r>
    </w:p>
    <w:bookmarkEnd w:id="23"/>
    <w:bookmarkStart w:id="27" w:name="marketing-strategies-tactics"/>
    <w:p>
      <w:pPr>
        <w:pStyle w:val="Heading2"/>
      </w:pPr>
      <w:r>
        <w:t xml:space="preserve">Marketing Strategies &amp; Tactics</w:t>
      </w:r>
    </w:p>
    <w:bookmarkStart w:id="24" w:name="culturally-adapted-product-positioning"/>
    <w:p>
      <w:pPr>
        <w:pStyle w:val="Heading3"/>
      </w:pPr>
      <w:r>
        <w:t xml:space="preserve">1. Culturally-Adapted Product Positioning</w:t>
      </w:r>
    </w:p>
    <w:p>
      <w:pPr>
        <w:pStyle w:val="FirstParagraph"/>
      </w:pPr>
      <w:r>
        <w:t xml:space="preserve">Reframe Teacher Secondary as "L'Allié Pédagogique Officiel pour les Enseignants Secondaires au Québec" – emphasizing Quebec identity. All materials use Montreal-specific case studies (e.g., "Developing Civic Engagement Projects in the Plateau-Mont-Royal Community"). Content avoids anglicized terms, using French-Quebecois educational vocabulary like "développement de compétences" instead of "skill-building."</w:t>
      </w:r>
    </w:p>
    <w:bookmarkEnd w:id="24"/>
    <w:bookmarkStart w:id="25" w:name="hyper-local-channel-strategy"/>
    <w:p>
      <w:pPr>
        <w:pStyle w:val="Heading3"/>
      </w:pPr>
      <w:r>
        <w:t xml:space="preserve">2. Hyper-Local Channel Strategy</w:t>
      </w:r>
    </w:p>
    <w:p>
      <w:pPr>
        <w:numPr>
          <w:ilvl w:val="0"/>
          <w:numId w:val="1003"/>
        </w:numPr>
        <w:pStyle w:val="Compact"/>
      </w:pPr>
      <w:r>
        <w:rPr>
          <w:bCs/>
          <w:b/>
        </w:rPr>
        <w:t xml:space="preserve">Community Partnerships:</w:t>
      </w:r>
      <w:r>
        <w:t xml:space="preserve"> </w:t>
      </w:r>
      <w:r>
        <w:t xml:space="preserve">Co-host workshops with Montreal-based organizations (e.g., Association des conseillers pédagogiques du Québec, L'Équipe de la santé mentale scolaire) at venues like the Palais des congrès de Montréal.</w:t>
      </w:r>
    </w:p>
    <w:p>
      <w:pPr>
        <w:numPr>
          <w:ilvl w:val="0"/>
          <w:numId w:val="1003"/>
        </w:numPr>
        <w:pStyle w:val="Compact"/>
      </w:pPr>
      <w:r>
        <w:rPr>
          <w:bCs/>
          <w:b/>
        </w:rPr>
        <w:t xml:space="preserve">School Board Integration:</w:t>
      </w:r>
      <w:r>
        <w:t xml:space="preserve"> </w:t>
      </w:r>
      <w:r>
        <w:t xml:space="preserve">Targeted pilot programs in 20 Montreal schools during Q1 2024, with free access for first-year teachers (aligning with Quebec's "Programme d'accompagnement des nouveaux enseignants").</w:t>
      </w:r>
    </w:p>
    <w:p>
      <w:pPr>
        <w:numPr>
          <w:ilvl w:val="0"/>
          <w:numId w:val="1003"/>
        </w:numPr>
        <w:pStyle w:val="Compact"/>
      </w:pPr>
      <w:r>
        <w:rPr>
          <w:bCs/>
          <w:b/>
        </w:rPr>
        <w:t xml:space="preserve">Digital Localization:</w:t>
      </w:r>
      <w:r>
        <w:t xml:space="preserve"> </w:t>
      </w:r>
      <w:r>
        <w:t xml:space="preserve">Geo-targeted Facebook/Instagram ads using Montreal landmarks (e.g., Mount Royal in visuals) and French-Quebecois hashtags like #EnseignantsMontreal.</w:t>
      </w:r>
    </w:p>
    <w:bookmarkEnd w:id="25"/>
    <w:bookmarkStart w:id="26" w:name="Xfead8a3e0f1e6d3f2fd79d3ebdfe82aaad9ffd8"/>
    <w:p>
      <w:pPr>
        <w:pStyle w:val="Heading3"/>
      </w:pPr>
      <w:r>
        <w:t xml:space="preserve">3. Value Proposition Anchored in Quebec Priorities</w:t>
      </w:r>
    </w:p>
    <w:p>
      <w:pPr>
        <w:pStyle w:val="FirstParagraph"/>
      </w:pPr>
      <w:r>
        <w:t xml:space="preserve">Emphasize how Teacher Secondary directly supports:</w:t>
      </w:r>
    </w:p>
    <w:p>
      <w:pPr>
        <w:numPr>
          <w:ilvl w:val="0"/>
          <w:numId w:val="1004"/>
        </w:numPr>
        <w:pStyle w:val="Compact"/>
      </w:pPr>
      <w:r>
        <w:t xml:space="preserve">Ministry of Education's 2024 "Wellness and Resilience" framework</w:t>
      </w:r>
    </w:p>
    <w:p>
      <w:pPr>
        <w:numPr>
          <w:ilvl w:val="0"/>
          <w:numId w:val="1004"/>
        </w:numPr>
        <w:pStyle w:val="Compact"/>
      </w:pPr>
      <w:r>
        <w:t xml:space="preserve">Schools' need for curriculum-coverage tools under Quebec's new sciences program</w:t>
      </w:r>
    </w:p>
    <w:p>
      <w:pPr>
        <w:numPr>
          <w:ilvl w:val="0"/>
          <w:numId w:val="1004"/>
        </w:numPr>
        <w:pStyle w:val="Compact"/>
      </w:pPr>
      <w:r>
        <w:t xml:space="preserve">Mental health support requirements in the Charter of Human Rights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Local Partnerships &amp; Events (Montreal-based)</w:t>
      </w:r>
    </w:p>
    <w:p>
      <w:pPr>
        <w:pStyle w:val="BodyText"/>
      </w:pPr>
      <w:r>
        <w:t xml:space="preserve">40%</w:t>
      </w:r>
    </w:p>
    <w:p>
      <w:pPr>
        <w:pStyle w:val="BodyText"/>
      </w:pPr>
      <w:r>
        <w:t xml:space="preserve">School board collaborations, community workshops in Montreal venues</w:t>
      </w:r>
    </w:p>
    <w:p>
      <w:pPr>
        <w:pStyle w:val="BodyText"/>
      </w:pPr>
      <w:r>
        <w:t xml:space="preserve">Digital Marketing (Geo-targeted)</w:t>
      </w:r>
    </w:p>
    <w:p>
      <w:pPr>
        <w:pStyle w:val="BodyText"/>
      </w:pPr>
      <w:r>
        <w:t xml:space="preserve">25%</w:t>
      </w:r>
    </w:p>
    <w:p>
      <w:pPr>
        <w:pStyle w:val="BodyText"/>
      </w:pPr>
      <w:r>
        <w:t xml:space="preserve">Content Creation</w:t>
      </w:r>
    </w:p>
    <w:p>
      <w:pPr>
        <w:pStyle w:val="BodyText"/>
      </w:pPr>
      <w:r>
        <w:t xml:space="preserve">Quebec-Specific Resource Development</w:t>
      </w:r>
    </w:p>
    <w:p>
      <w:pPr>
        <w:pStyle w:val="BodyText"/>
      </w:pPr>
      <w:r>
        <w:t xml:space="preserve">20%</w:t>
      </w:r>
    </w:p>
    <w:p>
      <w:pPr>
        <w:pStyle w:val="BodyText"/>
      </w:pPr>
      <w:r>
        <w:t xml:space="preserve">Curriculum-aligned modules with Montreal educators</w:t>
      </w:r>
    </w:p>
    <w:p>
      <w:pPr>
        <w:pStyle w:val="BodyText"/>
      </w:pPr>
      <w:r>
        <w:t xml:space="preserve">Maintenance &amp; Support Team (Montreal-based)</w:t>
      </w:r>
    </w:p>
    <w:p>
      <w:pPr>
        <w:pStyle w:val="BodyText"/>
      </w:pPr>
      <w:r>
        <w:t xml:space="preserve">&lt;</w:t>
      </w:r>
    </w:p>
    <w:p>
      <w:pPr>
        <w:pStyle w:val="BodyText"/>
      </w:pPr>
      <w:r>
        <w:t xml:space="preserve">15%</w:t>
      </w:r>
    </w:p>
    <w:p>
      <w:pPr>
        <w:pStyle w:val="BodyText"/>
      </w:pPr>
      <w:r>
        <w:t xml:space="preserve">Local staffing for French-speaking client service</w:t>
      </w:r>
    </w:p>
    <w:bookmarkEnd w:id="28"/>
    <w:bookmarkStart w:id="29" w:name="X6e29549e5dbd0fa3568f86a121fd26cc224ec4e"/>
    <w:p>
      <w:pPr>
        <w:pStyle w:val="Heading2"/>
      </w:pPr>
      <w:r>
        <w:t xml:space="preserve">Implementation Timeline: Canada Montreal Focus</w:t>
      </w:r>
    </w:p>
    <w:p>
      <w:pPr>
        <w:pStyle w:val="FirstParagraph"/>
      </w:pPr>
      <w:r>
        <w:rPr>
          <w:bCs/>
          <w:b/>
        </w:rPr>
        <w:t xml:space="preserve">Q1 2024:</w:t>
      </w:r>
      <w:r>
        <w:t xml:space="preserve"> </w:t>
      </w:r>
      <w:r>
        <w:t xml:space="preserve">Secure partnerships with CSMB (Commission scolaire de Montréal) and conduct needs assessment workshops across 5 Montreal boroughs.</w:t>
      </w:r>
    </w:p>
    <w:p>
      <w:pPr>
        <w:pStyle w:val="BodyText"/>
      </w:pPr>
      <w:r>
        <w:rPr>
          <w:bCs/>
          <w:b/>
        </w:rPr>
        <w:t xml:space="preserve">Q3 2024:</w:t>
      </w:r>
      <w:r>
        <w:t xml:space="preserve"> </w:t>
      </w:r>
      <w:r>
        <w:t xml:space="preserve">Launch pilot program in 15 schools, featuring a "Montreal Educator Ambassador" network of 30 teacher influencers.</w:t>
      </w:r>
    </w:p>
    <w:p>
      <w:pPr>
        <w:pStyle w:val="BodyText"/>
      </w:pPr>
      <w:r>
        <w:rPr>
          <w:bCs/>
          <w:b/>
        </w:rPr>
        <w:t xml:space="preserve">Q1 2025:</w:t>
      </w:r>
      <w:r>
        <w:t xml:space="preserve"> </w:t>
      </w:r>
      <w:r>
        <w:t xml:space="preserve">Expand to all English Montreal school boards (e.g., EECM), incorporating dual-language modules for francophone/anglophone teachers.</w:t>
      </w:r>
    </w:p>
    <w:p>
      <w:pPr>
        <w:pStyle w:val="BodyText"/>
      </w:pPr>
      <w:r>
        <w:rPr>
          <w:bCs/>
          <w:b/>
        </w:rPr>
        <w:t xml:space="preserve">Q4 2025:</w:t>
      </w:r>
      <w:r>
        <w:t xml:space="preserve"> </w:t>
      </w:r>
      <w:r>
        <w:t xml:space="preserve">Host inaugural "Fête de l'Enseignement Secondaire" event at Montreal's Pointe-à-Callière Museum, targeting 1,000 educators.</w:t>
      </w:r>
    </w:p>
    <w:bookmarkEnd w:id="29"/>
    <w:bookmarkStart w:id="30" w:name="evaluation-metrics"/>
    <w:p>
      <w:pPr>
        <w:pStyle w:val="Heading2"/>
      </w:pPr>
      <w:r>
        <w:t xml:space="preserve">Evaluation Metrics</w:t>
      </w:r>
    </w:p>
    <w:p>
      <w:pPr>
        <w:pStyle w:val="FirstParagraph"/>
      </w:pPr>
      <w:r>
        <w:t xml:space="preserve">We measure success through Quebec-specific KPIs:</w:t>
      </w:r>
    </w:p>
    <w:p>
      <w:pPr>
        <w:numPr>
          <w:ilvl w:val="0"/>
          <w:numId w:val="1005"/>
        </w:numPr>
        <w:pStyle w:val="Compact"/>
      </w:pPr>
      <w:r>
        <w:rPr>
          <w:bCs/>
          <w:b/>
        </w:rPr>
        <w:t xml:space="preserve">Montreal Market Penetration:</w:t>
      </w:r>
      <w:r>
        <w:t xml:space="preserve"> </w:t>
      </w:r>
      <w:r>
        <w:t xml:space="preserve">% of schools in Greater Montreal using Teacher Secondary (target: 35% by Year 2)</w:t>
      </w:r>
    </w:p>
    <w:p>
      <w:pPr>
        <w:numPr>
          <w:ilvl w:val="0"/>
          <w:numId w:val="1005"/>
        </w:numPr>
        <w:pStyle w:val="Compact"/>
      </w:pPr>
      <w:r>
        <w:rPr>
          <w:bCs/>
          <w:b/>
        </w:rPr>
        <w:t xml:space="preserve">Cultural Resonance Score:</w:t>
      </w:r>
      <w:r>
        <w:t xml:space="preserve"> </w:t>
      </w:r>
      <w:r>
        <w:t xml:space="preserve">Post-workshop surveys assessing relevance to Quebec classroom context (target: 90% positive)</w:t>
      </w:r>
    </w:p>
    <w:p>
      <w:pPr>
        <w:numPr>
          <w:ilvl w:val="0"/>
          <w:numId w:val="1005"/>
        </w:numPr>
        <w:pStyle w:val="Compact"/>
      </w:pPr>
      <w:r>
        <w:rPr>
          <w:bCs/>
          <w:b/>
        </w:rPr>
        <w:t xml:space="preserve">Ministry Alignment:</w:t>
      </w:r>
      <w:r>
        <w:t xml:space="preserve"> </w:t>
      </w:r>
      <w:r>
        <w:t xml:space="preserve">Number of school boards incorporating Teacher Secondary into their professional development plans (target: 5+ by Year 2)</w:t>
      </w:r>
    </w:p>
    <w:p>
      <w:pPr>
        <w:numPr>
          <w:ilvl w:val="0"/>
          <w:numId w:val="1005"/>
        </w:numPr>
        <w:pStyle w:val="Compact"/>
      </w:pPr>
      <w:r>
        <w:rPr>
          <w:bCs/>
          <w:b/>
        </w:rPr>
        <w:t xml:space="preserve">Cohort Retention:</w:t>
      </w:r>
      <w:r>
        <w:t xml:space="preserve"> </w:t>
      </w:r>
      <w:r>
        <w:t xml:space="preserve">% of Montreal teachers continuing subscription after first year (target: 75%)</w:t>
      </w:r>
    </w:p>
    <w:bookmarkEnd w:id="30"/>
    <w:bookmarkStart w:id="31" w:name="Xa7dab55d2177ac88dfb7c76fda0b6f99c43491a"/>
    <w:p>
      <w:pPr>
        <w:pStyle w:val="Heading2"/>
      </w:pPr>
      <w:r>
        <w:t xml:space="preserve">Conclusion: Why This Marketing Plan Works for Canada Montreal</w:t>
      </w:r>
    </w:p>
    <w:p>
      <w:pPr>
        <w:pStyle w:val="FirstParagraph"/>
      </w:pPr>
      <w:r>
        <w:t xml:space="preserve">This Marketing Plan transcends generic strategies by embedding Teacher Secondary within the fabric of Quebec's educational ecosystem. Unlike national competitors, we've designed every touchpoint to respect Montreal's linguistic identity, curriculum requirements, and cultural context – from French-language content that uses "coup d'école" instead of "school day," to partnership with the Conseil supérieur de l'éducation. The plan acknowledges that in Canada Montreal, a successful marketing strategy must resonate within a specific pedagogical and linguistic universe. By positioning Teacher Secondary as the essential Quebec-aligned partner for secondary educators – not just another service – we create sustainable growth while directly supporting the province's educational priorities.</w:t>
      </w:r>
    </w:p>
    <w:p>
      <w:pPr>
        <w:pStyle w:val="BodyText"/>
      </w:pPr>
      <w:r>
        <w:t xml:space="preserve">With this targeted approach, Teacher Secondary will become synonymous with effective secondary education support in Canada Montreal, driving measurable impact on teacher satisfaction and student outcomes across Quebec's most populous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Canada Montreal</dc:title>
  <dc:creator/>
  <dc:language>en</dc:language>
  <cp:keywords/>
  <dcterms:created xsi:type="dcterms:W3CDTF">2026-05-30T20:13:18Z</dcterms:created>
  <dcterms:modified xsi:type="dcterms:W3CDTF">2026-05-30T20:13:18Z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