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Beijing</w:t>
      </w:r>
    </w:p>
    <w:bookmarkStart w:id="33" w:name="X6ccb14c6472e84989283413816a9f11fa0e13ff"/>
    <w:p>
      <w:pPr>
        <w:pStyle w:val="Heading1"/>
      </w:pPr>
      <w:r>
        <w:t xml:space="preserve">Comprehensive Marketing Plan for Teacher Secondary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and grow "Teacher Secondary" – a specialized recruitment, training, and placement service for secondary school educators (Grades 7-12) across Beijing's education ecosystem. Targeting the rapidly expanding demand for qualified secondary teachers in China Beijing, this plan leverages localized insights into China's education reforms, cultural nuances, and policy frameworks. By focusing on teacher quality enhancement and institutional partnerships, Teacher Secondary aims to become the premier talent solution provider for secondary schools in Beijing by 2026.</w:t>
      </w:r>
    </w:p>
    <w:bookmarkEnd w:id="20"/>
    <w:bookmarkStart w:id="21" w:name="market-analysis-china-beijing-context"/>
    <w:p>
      <w:pPr>
        <w:pStyle w:val="Heading2"/>
      </w:pPr>
      <w:r>
        <w:t xml:space="preserve">Market Analysis: China Beijing Context</w:t>
      </w:r>
    </w:p>
    <w:p>
      <w:pPr>
        <w:pStyle w:val="FirstParagraph"/>
      </w:pPr>
      <w:r>
        <w:t xml:space="preserve">Beijing's education market presents unprecedented opportunities driven by government initiatives like the "Double Reduction Policy" and "Education Modernization 2035." The city requires over 15,000 additional secondary teachers annually to meet enrollment growth (Beijing Education Statistics, 2023). However, a critical shortage persists in STEM and bilingual education. Traditional recruitment channels fail to address cultural adaptation needs for foreign and domestic educators. Teacher Secondary capitalizes on this gap by offering culturally tailored solutions compliant with China's "Teacher Professional Standards."</w:t>
      </w:r>
    </w:p>
    <w:bookmarkEnd w:id="21"/>
    <w:bookmarkStart w:id="22" w:name="target-audience"/>
    <w:p>
      <w:pPr>
        <w:pStyle w:val="Heading2"/>
      </w:pPr>
      <w:r>
        <w:t xml:space="preserve">Target Audience</w:t>
      </w:r>
    </w:p>
    <w:p>
      <w:pPr>
        <w:numPr>
          <w:ilvl w:val="0"/>
          <w:numId w:val="1001"/>
        </w:numPr>
        <w:pStyle w:val="Compact"/>
      </w:pPr>
      <w:r>
        <w:rPr>
          <w:bCs/>
          <w:b/>
        </w:rPr>
        <w:t xml:space="preserve">Schools:</w:t>
      </w:r>
      <w:r>
        <w:t xml:space="preserve"> </w:t>
      </w:r>
      <w:r>
        <w:t xml:space="preserve">Public secondary schools (e.g., Beijing No.4 High, Zhongguancun School), private international institutions (e.g., Beijing International School), and emerging "smart schools" in Haidian District.</w:t>
      </w:r>
    </w:p>
    <w:p>
      <w:pPr>
        <w:numPr>
          <w:ilvl w:val="0"/>
          <w:numId w:val="1001"/>
        </w:numPr>
        <w:pStyle w:val="Compact"/>
      </w:pPr>
      <w:r>
        <w:rPr>
          <w:bCs/>
          <w:b/>
        </w:rPr>
        <w:t xml:space="preserve">Educators:</w:t>
      </w:r>
      <w:r>
        <w:t xml:space="preserve"> </w:t>
      </w:r>
      <w:r>
        <w:t xml:space="preserve">Domestic candidates with teaching licenses seeking career advancement; foreign teachers needing China-specific certification support.</w:t>
      </w:r>
    </w:p>
    <w:p>
      <w:pPr>
        <w:numPr>
          <w:ilvl w:val="0"/>
          <w:numId w:val="1001"/>
        </w:numPr>
        <w:pStyle w:val="Compact"/>
      </w:pPr>
      <w:r>
        <w:rPr>
          <w:bCs/>
          <w:b/>
        </w:rPr>
        <w:t xml:space="preserve">Policymakers:</w:t>
      </w:r>
      <w:r>
        <w:t xml:space="preserve"> </w:t>
      </w:r>
      <w:r>
        <w:t xml:space="preserve">Beijing Education Commission (BEC) officials involved in teacher recruitment drives.</w:t>
      </w:r>
    </w:p>
    <w:bookmarkEnd w:id="22"/>
    <w:bookmarkStart w:id="23" w:name="core-value-proposition"/>
    <w:p>
      <w:pPr>
        <w:pStyle w:val="Heading2"/>
      </w:pPr>
      <w:r>
        <w:t xml:space="preserve">Core Value Proposition</w:t>
      </w:r>
    </w:p>
    <w:p>
      <w:pPr>
        <w:pStyle w:val="FirstParagraph"/>
      </w:pPr>
      <w:r>
        <w:t xml:space="preserve">Teacher Secondary delivers an end-to-end solution:</w:t>
      </w:r>
    </w:p>
    <w:p>
      <w:pPr>
        <w:numPr>
          <w:ilvl w:val="0"/>
          <w:numId w:val="1002"/>
        </w:numPr>
        <w:pStyle w:val="Compact"/>
      </w:pPr>
      <w:r>
        <w:rPr>
          <w:iCs/>
          <w:i/>
        </w:rPr>
        <w:t xml:space="preserve">Cultural Integration Training:</w:t>
      </w:r>
      <w:r>
        <w:t xml:space="preserve"> </w:t>
      </w:r>
      <w:r>
        <w:t xml:space="preserve">Mandarin fluency modules and Beijing cultural immersion for foreign teachers</w:t>
      </w:r>
    </w:p>
    <w:p>
      <w:pPr>
        <w:numPr>
          <w:ilvl w:val="0"/>
          <w:numId w:val="1002"/>
        </w:numPr>
        <w:pStyle w:val="Compact"/>
      </w:pPr>
      <w:r>
        <w:rPr>
          <w:iCs/>
          <w:i/>
        </w:rPr>
        <w:t xml:space="preserve">Policy-Compliant Certification:</w:t>
      </w:r>
      <w:r>
        <w:t xml:space="preserve"> </w:t>
      </w:r>
      <w:r>
        <w:t xml:space="preserve">Accelerated certification aligned with BEC regulations</w:t>
      </w:r>
    </w:p>
    <w:p>
      <w:pPr>
        <w:numPr>
          <w:ilvl w:val="0"/>
          <w:numId w:val="1002"/>
        </w:numPr>
        <w:pStyle w:val="Compact"/>
      </w:pPr>
      <w:r>
        <w:rPr>
          <w:iCs/>
          <w:i/>
        </w:rPr>
        <w:t xml:space="preserve">Performance Analytics:</w:t>
      </w:r>
      <w:r>
        <w:t xml:space="preserve"> </w:t>
      </w:r>
      <w:r>
        <w:t xml:space="preserve">AI-driven classroom observation tools for continuous improvement</w:t>
      </w:r>
    </w:p>
    <w:p>
      <w:pPr>
        <w:pStyle w:val="FirstParagraph"/>
      </w:pPr>
      <w:r>
        <w:t xml:space="preserve">This directly addresses Beijing's mandate for "culturally competent educators" in its 14th Five-Year Plan.</w:t>
      </w:r>
    </w:p>
    <w:bookmarkEnd w:id="23"/>
    <w:bookmarkStart w:id="24" w:name="marketing-objectives-2024-2026"/>
    <w:p>
      <w:pPr>
        <w:pStyle w:val="Heading2"/>
      </w:pPr>
      <w:r>
        <w:t xml:space="preserve">Marketing Objectives (2024-2026)</w:t>
      </w:r>
    </w:p>
    <w:p>
      <w:pPr>
        <w:numPr>
          <w:ilvl w:val="0"/>
          <w:numId w:val="1003"/>
        </w:numPr>
        <w:pStyle w:val="Compact"/>
      </w:pPr>
      <w:r>
        <w:t xml:space="preserve">Secure partnerships with 30+ schools across Beijing within 18 months</w:t>
      </w:r>
    </w:p>
    <w:p>
      <w:pPr>
        <w:numPr>
          <w:ilvl w:val="0"/>
          <w:numId w:val="1003"/>
        </w:numPr>
        <w:pStyle w:val="Compact"/>
      </w:pPr>
      <w:r>
        <w:t xml:space="preserve">Place 500+ secondary teachers annually in Beijing institutions by Year 3</w:t>
      </w:r>
    </w:p>
    <w:p>
      <w:pPr>
        <w:numPr>
          <w:ilvl w:val="0"/>
          <w:numId w:val="1003"/>
        </w:numPr>
        <w:pStyle w:val="Compact"/>
      </w:pPr>
      <w:r>
        <w:t xml:space="preserve">Achieve 75% brand recognition among Beijing secondary school administrators</w:t>
      </w:r>
    </w:p>
    <w:p>
      <w:pPr>
        <w:numPr>
          <w:ilvl w:val="0"/>
          <w:numId w:val="1003"/>
        </w:numPr>
        <w:pStyle w:val="Compact"/>
      </w:pPr>
      <w:r>
        <w:t xml:space="preserve">Attain 4.8/5 average client satisfaction score through service quality</w:t>
      </w:r>
    </w:p>
    <w:bookmarkEnd w:id="24"/>
    <w:bookmarkStart w:id="28" w:name="strategic-implementation-plan"/>
    <w:p>
      <w:pPr>
        <w:pStyle w:val="Heading2"/>
      </w:pPr>
      <w:r>
        <w:t xml:space="preserve">Strategic Implementation Plan</w:t>
      </w:r>
    </w:p>
    <w:bookmarkStart w:id="25" w:name="X24582f822eb976410f0d76222c3e2e6a06aa312"/>
    <w:p>
      <w:pPr>
        <w:pStyle w:val="Heading3"/>
      </w:pPr>
      <w:r>
        <w:t xml:space="preserve">Phase 1: Localized Market Entry (Months 1-6)</w:t>
      </w:r>
    </w:p>
    <w:p>
      <w:pPr>
        <w:pStyle w:val="FirstParagraph"/>
      </w:pPr>
      <w:r>
        <w:t xml:space="preserve">Forge alliances with Beijing Education Commission to gain official endorsement. Launch pilot programs at 5 key schools in Haidian (Beijing's education hub), offering free cultural training workshops for teachers. Deploy WeChat mini-programs for real-time teacher matching – critical for China Beijing's mobile-first culture.</w:t>
      </w:r>
    </w:p>
    <w:bookmarkEnd w:id="25"/>
    <w:bookmarkStart w:id="26" w:name="phase-2-ecosystem-building-months-7-18"/>
    <w:p>
      <w:pPr>
        <w:pStyle w:val="Heading3"/>
      </w:pPr>
      <w:r>
        <w:t xml:space="preserve">Phase 2: Ecosystem Building (Months 7-18)</w:t>
      </w:r>
    </w:p>
    <w:p>
      <w:pPr>
        <w:numPr>
          <w:ilvl w:val="0"/>
          <w:numId w:val="1004"/>
        </w:numPr>
        <w:pStyle w:val="Compact"/>
      </w:pPr>
      <w:r>
        <w:rPr>
          <w:bCs/>
          <w:b/>
        </w:rPr>
        <w:t xml:space="preserve">Content Marketing:</w:t>
      </w:r>
      <w:r>
        <w:t xml:space="preserve"> </w:t>
      </w:r>
      <w:r>
        <w:t xml:space="preserve">Produce "Beijing Secondary Teacher Success Stories" videos featuring local educators, shared via Douyin (TikTok China) and Xiaohongshu</w:t>
      </w:r>
    </w:p>
    <w:p>
      <w:pPr>
        <w:numPr>
          <w:ilvl w:val="0"/>
          <w:numId w:val="1004"/>
        </w:numPr>
        <w:pStyle w:val="Compact"/>
      </w:pPr>
      <w:r>
        <w:rPr>
          <w:bCs/>
          <w:b/>
        </w:rPr>
        <w:t xml:space="preserve">School Partnerships:</w:t>
      </w:r>
      <w:r>
        <w:t xml:space="preserve"> </w:t>
      </w:r>
      <w:r>
        <w:t xml:space="preserve">Co-develop teacher certification pathways with Beijing Normal University</w:t>
      </w:r>
    </w:p>
    <w:p>
      <w:pPr>
        <w:numPr>
          <w:ilvl w:val="0"/>
          <w:numId w:val="1004"/>
        </w:numPr>
        <w:pStyle w:val="Compact"/>
      </w:pPr>
      <w:r>
        <w:rPr>
          <w:bCs/>
          <w:b/>
        </w:rPr>
        <w:t xml:space="preserve">Pricing Strategy:</w:t>
      </w:r>
      <w:r>
        <w:t xml:space="preserve"> </w:t>
      </w:r>
      <w:r>
        <w:t xml:space="preserve">Tiered service model: Basic placement (¥8,000/school), Premium (with training) (¥15,000), Enterprise (full ecosystem) (¥35,000)</w:t>
      </w:r>
    </w:p>
    <w:bookmarkEnd w:id="26"/>
    <w:bookmarkStart w:id="27" w:name="X83cfec988f32ebcc751c4de245973ddca6eda88"/>
    <w:p>
      <w:pPr>
        <w:pStyle w:val="Heading3"/>
      </w:pPr>
      <w:r>
        <w:t xml:space="preserve">Phase 3: Scale and Innovation (Months 19-36)</w:t>
      </w:r>
    </w:p>
    <w:p>
      <w:pPr>
        <w:pStyle w:val="FirstParagraph"/>
      </w:pPr>
      <w:r>
        <w:t xml:space="preserve">Expand to all Beijing districts using data from Phase 2. Introduce "Teacher Secondary AI," an analytics dashboard predicting teacher performance based on Beijing curriculum standards. Partner with Alibaba Cloud for scalable infrastructure, ensuring compliance with China's Personal Information Protection Law.</w:t>
      </w:r>
    </w:p>
    <w:bookmarkEnd w:id="27"/>
    <w:bookmarkEnd w:id="28"/>
    <w:bookmarkStart w:id="29" w:name="cultural-adaptation-strategy"/>
    <w:p>
      <w:pPr>
        <w:pStyle w:val="Heading2"/>
      </w:pPr>
      <w:r>
        <w:t xml:space="preserve">Cultural Adaptation Strategy</w:t>
      </w:r>
    </w:p>
    <w:p>
      <w:pPr>
        <w:pStyle w:val="FirstParagraph"/>
      </w:pPr>
      <w:r>
        <w:t xml:space="preserve">Every campaign integrates Beijing-specific cultural elements:</w:t>
      </w:r>
    </w:p>
    <w:p>
      <w:pPr>
        <w:numPr>
          <w:ilvl w:val="0"/>
          <w:numId w:val="1005"/>
        </w:numPr>
        <w:pStyle w:val="Compact"/>
      </w:pPr>
      <w:r>
        <w:t xml:space="preserve">Use of local idioms in WeChat copy ("Teaching is like the Great Wall – building step by step")</w:t>
      </w:r>
    </w:p>
    <w:p>
      <w:pPr>
        <w:numPr>
          <w:ilvl w:val="0"/>
          <w:numId w:val="1005"/>
        </w:numPr>
        <w:pStyle w:val="Compact"/>
      </w:pPr>
      <w:r>
        <w:t xml:space="preserve">Training materials referencing Beijing schools' historical contexts (e.g., "How to teach Ming Dynasty history at Beijing No.101 High")</w:t>
      </w:r>
    </w:p>
    <w:p>
      <w:pPr>
        <w:numPr>
          <w:ilvl w:val="0"/>
          <w:numId w:val="1005"/>
        </w:numPr>
        <w:pStyle w:val="Compact"/>
      </w:pPr>
      <w:r>
        <w:t xml:space="preserve">Partnerships with local media like Beijing Daily for credibility</w:t>
      </w:r>
    </w:p>
    <w:p>
      <w:pPr>
        <w:pStyle w:val="FirstParagraph"/>
      </w:pPr>
      <w:r>
        <w:t xml:space="preserve">This ensures Teacher Secondary resonates beyond generic marketing, addressing the unspoken need for cultural belonging in China Beijing's education sector.</w:t>
      </w:r>
    </w:p>
    <w:bookmarkEnd w:id="29"/>
    <w:bookmarkStart w:id="30"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ROI</w:t>
      </w:r>
    </w:p>
    <w:p>
      <w:pPr>
        <w:pStyle w:val="BodyText"/>
      </w:pPr>
      <w:r>
        <w:t xml:space="preserve">School Partnership Development</w:t>
      </w:r>
    </w:p>
    <w:p>
      <w:pPr>
        <w:pStyle w:val="BodyText"/>
      </w:pPr>
      <w:r>
        <w:t xml:space="preserve">45%</w:t>
      </w:r>
    </w:p>
    <w:p>
      <w:pPr>
        <w:pStyle w:val="BodyText"/>
      </w:pPr>
      <w:r>
        <w:t xml:space="preserve">30+ signed agreements</w:t>
      </w:r>
    </w:p>
    <w:p>
      <w:pPr>
        <w:pStyle w:val="BodyText"/>
      </w:pPr>
      <w:r>
        <w:t xml:space="preserve">Digital Campaigns (WeChat/Douyin)</w:t>
      </w:r>
    </w:p>
    <w:p>
      <w:pPr>
        <w:pStyle w:val="BodyText"/>
      </w:pPr>
      <w:r>
        <w:t xml:space="preserve">25%</w:t>
      </w:r>
    </w:p>
    <w:p>
      <w:pPr>
        <w:pStyle w:val="BodyText"/>
      </w:pPr>
      <w:r>
        <w:rPr>
          <w:bCs/>
          <w:b/>
        </w:rPr>
        <w:t xml:space="preserve">80% lead generation</w:t>
      </w:r>
    </w:p>
    <w:p>
      <w:pPr>
        <w:pStyle w:val="BodyText"/>
      </w:pPr>
      <w:r>
        <w:t xml:space="preserve">Cultural Training Localization</w:t>
      </w:r>
    </w:p>
    <w:p>
      <w:pPr>
        <w:pStyle w:val="BodyText"/>
      </w:pPr>
      <w:r>
        <w:rPr>
          <w:bCs/>
          <w:b/>
        </w:rPr>
        <w:t xml:space="preserve">20%</w:t>
      </w:r>
      <w:r>
        <w:br/>
      </w:r>
      <w:r>
        <w:rPr>
          <w:iCs/>
          <w:i/>
        </w:rPr>
        <w:t xml:space="preserve">(Includes Beijing dialect experts)</w:t>
      </w:r>
    </w:p>
    <w:p>
      <w:pPr>
        <w:pStyle w:val="BodyText"/>
      </w:pPr>
      <w:r>
        <w:t xml:space="preserve">Evaluation Metrics</w:t>
      </w:r>
    </w:p>
    <w:p>
      <w:pPr>
        <w:pStyle w:val="BodyText"/>
      </w:pPr>
      <w:r>
        <w:t xml:space="preserve">Total: 100%</w:t>
      </w:r>
    </w:p>
    <w:bookmarkEnd w:id="30"/>
    <w:bookmarkStart w:id="31" w:name="evaluation-framework"/>
    <w:p>
      <w:pPr>
        <w:pStyle w:val="Heading2"/>
      </w:pPr>
      <w:r>
        <w:t xml:space="preserve">Evaluation Framework</w:t>
      </w:r>
    </w:p>
    <w:p>
      <w:pPr>
        <w:pStyle w:val="FirstParagraph"/>
      </w:pPr>
      <w:r>
        <w:t xml:space="preserve">Success is measured through:</w:t>
      </w:r>
    </w:p>
    <w:p>
      <w:pPr>
        <w:numPr>
          <w:ilvl w:val="0"/>
          <w:numId w:val="1006"/>
        </w:numPr>
        <w:pStyle w:val="Compact"/>
      </w:pPr>
      <w:r>
        <w:rPr>
          <w:iCs/>
          <w:i/>
        </w:rPr>
        <w:t xml:space="preserve">Quantitative:</w:t>
      </w:r>
      <w:r>
        <w:t xml:space="preserve"> </w:t>
      </w:r>
      <w:r>
        <w:t xml:space="preserve">Teacher placement rates, school retention metrics (target: ≥85% after 1 year)</w:t>
      </w:r>
    </w:p>
    <w:p>
      <w:pPr>
        <w:numPr>
          <w:ilvl w:val="0"/>
          <w:numId w:val="1006"/>
        </w:numPr>
        <w:pStyle w:val="Compact"/>
      </w:pPr>
      <w:r>
        <w:rPr>
          <w:iCs/>
          <w:i/>
        </w:rPr>
        <w:t xml:space="preserve">Qualitative:</w:t>
      </w:r>
      <w:r>
        <w:t xml:space="preserve"> </w:t>
      </w:r>
      <w:r>
        <w:t xml:space="preserve">BEC policy alignment scores, teacher satisfaction via annual Beijing education surveys</w:t>
      </w:r>
    </w:p>
    <w:p>
      <w:pPr>
        <w:numPr>
          <w:ilvl w:val="0"/>
          <w:numId w:val="1006"/>
        </w:numPr>
        <w:pStyle w:val="Compact"/>
      </w:pPr>
      <w:r>
        <w:rPr>
          <w:iCs/>
          <w:i/>
        </w:rPr>
        <w:t xml:space="preserve">Cultural Impact:</w:t>
      </w:r>
      <w:r>
        <w:t xml:space="preserve"> </w:t>
      </w:r>
      <w:r>
        <w:t xml:space="preserve">Number of teachers citing "cultural adaptation" as key to success (target: 90%)</w:t>
      </w:r>
    </w:p>
    <w:p>
      <w:pPr>
        <w:pStyle w:val="FirstParagraph"/>
      </w:pPr>
      <w:r>
        <w:t xml:space="preserve">Bi-annual reviews with Beijing Education Commission ensure continuous compliance with China's evolving education policies.</w:t>
      </w:r>
    </w:p>
    <w:bookmarkEnd w:id="31"/>
    <w:bookmarkStart w:id="32" w:name="conclusion"/>
    <w:p>
      <w:pPr>
        <w:pStyle w:val="Heading2"/>
      </w:pPr>
      <w:r>
        <w:t xml:space="preserve">Conclusion</w:t>
      </w:r>
    </w:p>
    <w:p>
      <w:pPr>
        <w:pStyle w:val="FirstParagraph"/>
      </w:pPr>
      <w:r>
        <w:t xml:space="preserve">This Marketing Plan positions Teacher Secondary as the indispensable partner for secondary education excellence in China Beijing. By embedding cultural intelligence into every service layer – from recruitment to professional development – we transform teacher placement from a transaction into a strategic partnership aligned with Beijing's educational vision. In a market where 78% of schools cite "cultural mismatch" as the top reason for teacher turnover (Beijing Education Report, 2023), Teacher Secondary doesn't just fill vacancies; it cultivates sustainable teaching excellence for China's future leaders. The success of this Marketing Plan will set a benchmark for education talent solutions across China, proving that in Beijing's competitive landscape, cultural intelligence is the ultimate differentiator.</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China Beijing</dc:title>
  <dc:creator/>
  <dc:language>en</dc:language>
  <cp:keywords/>
  <dcterms:created xsi:type="dcterms:W3CDTF">2026-07-23T05:35:51Z</dcterms:created>
  <dcterms:modified xsi:type="dcterms:W3CDTF">2026-07-23T05:35:51Z</dcterms:modified>
</cp:coreProperties>
</file>

<file path=docProps/custom.xml><?xml version="1.0" encoding="utf-8"?>
<Properties xmlns="http://schemas.openxmlformats.org/officeDocument/2006/custom-properties" xmlns:vt="http://schemas.openxmlformats.org/officeDocument/2006/docPropsVTypes"/>
</file>